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93398" w14:textId="3FB3C4B8" w:rsidR="00BD5F15" w:rsidRDefault="0052571D" w:rsidP="0052571D">
      <w:pPr>
        <w:tabs>
          <w:tab w:val="left" w:pos="1425"/>
        </w:tabs>
      </w:pPr>
      <w:r>
        <w:tab/>
      </w:r>
    </w:p>
    <w:p w14:paraId="278F965B" w14:textId="77777777" w:rsidR="0081151A" w:rsidRDefault="0081151A" w:rsidP="00BE76EA"/>
    <w:p w14:paraId="4A87E372" w14:textId="77777777" w:rsidR="0081151A" w:rsidRDefault="0081151A" w:rsidP="00BE76EA"/>
    <w:p w14:paraId="5A2D63B4" w14:textId="77777777" w:rsidR="0081151A" w:rsidRDefault="0081151A" w:rsidP="00BE76EA"/>
    <w:p w14:paraId="6DB4BC39" w14:textId="3AF7B804" w:rsidR="00CC0818" w:rsidRPr="00CC0818" w:rsidRDefault="00447157" w:rsidP="00447157">
      <w:pPr>
        <w:rPr>
          <w:color w:val="13334C" w:themeColor="text2"/>
          <w:sz w:val="24"/>
        </w:rPr>
      </w:pPr>
      <w:r w:rsidRPr="00CC0818">
        <w:rPr>
          <w:b/>
          <w:color w:val="13334C" w:themeColor="text2"/>
          <w:sz w:val="24"/>
        </w:rPr>
        <w:t>Purpose</w:t>
      </w:r>
      <w:r w:rsidR="006B6689">
        <w:rPr>
          <w:b/>
          <w:color w:val="13334C" w:themeColor="text2"/>
          <w:sz w:val="24"/>
        </w:rPr>
        <w:t xml:space="preserve"> and Process</w:t>
      </w:r>
    </w:p>
    <w:p w14:paraId="0D2FCC03" w14:textId="4F1B7A59" w:rsidR="00447157" w:rsidRDefault="00F857F3" w:rsidP="00447157">
      <w:r>
        <w:t xml:space="preserve">The </w:t>
      </w:r>
      <w:r w:rsidR="00447157">
        <w:t>Community PSE</w:t>
      </w:r>
      <w:r w:rsidR="00CC0818">
        <w:t xml:space="preserve"> (Policy, Systems, and Environmental</w:t>
      </w:r>
      <w:r w:rsidR="00A36868">
        <w:t xml:space="preserve"> </w:t>
      </w:r>
      <w:r w:rsidR="00921260">
        <w:t>c</w:t>
      </w:r>
      <w:r w:rsidR="00A36868">
        <w:t>hange</w:t>
      </w:r>
      <w:r w:rsidR="00CC0818">
        <w:t xml:space="preserve">) </w:t>
      </w:r>
      <w:r w:rsidR="00447157">
        <w:t xml:space="preserve">Exploration </w:t>
      </w:r>
      <w:r>
        <w:t xml:space="preserve">Guide (the Guide) </w:t>
      </w:r>
      <w:r w:rsidR="00921260">
        <w:t>helps</w:t>
      </w:r>
      <w:r w:rsidR="00447157">
        <w:t xml:space="preserve"> organizations </w:t>
      </w:r>
      <w:r>
        <w:t xml:space="preserve">better </w:t>
      </w:r>
      <w:r w:rsidR="00447157">
        <w:t xml:space="preserve">understand the </w:t>
      </w:r>
      <w:r w:rsidR="001E7766">
        <w:t>communities</w:t>
      </w:r>
      <w:r w:rsidR="00447157">
        <w:t xml:space="preserve"> they serve</w:t>
      </w:r>
      <w:r w:rsidR="001E7766">
        <w:t>,</w:t>
      </w:r>
      <w:r w:rsidR="00447157">
        <w:t xml:space="preserve"> build</w:t>
      </w:r>
      <w:r w:rsidR="00921260">
        <w:t>s</w:t>
      </w:r>
      <w:r w:rsidR="00447157">
        <w:t xml:space="preserve"> </w:t>
      </w:r>
      <w:r w:rsidR="008F5DCE">
        <w:t xml:space="preserve">organization </w:t>
      </w:r>
      <w:r w:rsidR="00447157">
        <w:t>capacity to make informed decisions for future PSE efforts</w:t>
      </w:r>
      <w:r w:rsidR="001E7766">
        <w:t>, strengthens the foundation to improve health equity</w:t>
      </w:r>
      <w:r w:rsidR="00447157">
        <w:t xml:space="preserve">. </w:t>
      </w:r>
      <w:r w:rsidR="00DD06EC">
        <w:t>“The Guide” is the electronic or hard copy of the materials (</w:t>
      </w:r>
      <w:r w:rsidR="00087E7C">
        <w:t xml:space="preserve">the </w:t>
      </w:r>
      <w:r w:rsidR="00DD06EC">
        <w:t>Overview plus Steps 1, 2, and 3). “The Process” are the activities you and your team engage in while using the Guide.</w:t>
      </w:r>
    </w:p>
    <w:p w14:paraId="102937CF" w14:textId="77777777" w:rsidR="00447157" w:rsidRDefault="00447157" w:rsidP="00447157"/>
    <w:p w14:paraId="4D3689D3" w14:textId="3EEB43AE" w:rsidR="00F857F3" w:rsidRDefault="008F5DCE" w:rsidP="00447157">
      <w:r>
        <w:t xml:space="preserve">The exploration </w:t>
      </w:r>
      <w:r w:rsidR="00DD06EC">
        <w:t>P</w:t>
      </w:r>
      <w:r>
        <w:t>rocess focus</w:t>
      </w:r>
      <w:r w:rsidR="00A36868">
        <w:t>es</w:t>
      </w:r>
      <w:r>
        <w:t xml:space="preserve"> on uncovering PSE needs and deepening community engagement to increase the impact of your work</w:t>
      </w:r>
      <w:r w:rsidR="00201E80">
        <w:t xml:space="preserve">. </w:t>
      </w:r>
      <w:r w:rsidR="00DD06EC">
        <w:t>It</w:t>
      </w:r>
      <w:r w:rsidR="00A36868">
        <w:t xml:space="preserve"> is</w:t>
      </w:r>
      <w:r w:rsidR="00F857F3">
        <w:t xml:space="preserve"> adaptable and flexible</w:t>
      </w:r>
      <w:r w:rsidR="00D05A5F">
        <w:t xml:space="preserve"> </w:t>
      </w:r>
      <w:r w:rsidR="00FF6919">
        <w:t>recognizing that your community’s assets, history, and challenges are unique</w:t>
      </w:r>
      <w:r w:rsidR="00F857F3">
        <w:t xml:space="preserve">. </w:t>
      </w:r>
      <w:r w:rsidR="00496108">
        <w:t xml:space="preserve">The exploration </w:t>
      </w:r>
      <w:r w:rsidR="00DD06EC">
        <w:t>P</w:t>
      </w:r>
      <w:r w:rsidR="00496108">
        <w:t>rocess will help you answer questions like “What does the community need right now</w:t>
      </w:r>
      <w:r w:rsidR="00201E80">
        <w:t>,</w:t>
      </w:r>
      <w:r w:rsidR="00496108">
        <w:t xml:space="preserve">” “What can SNAP-Ed do to </w:t>
      </w:r>
      <w:r w:rsidR="00A36868">
        <w:t xml:space="preserve">help </w:t>
      </w:r>
      <w:r w:rsidR="00496108">
        <w:t>meet those needs</w:t>
      </w:r>
      <w:r w:rsidR="00201E80">
        <w:t>,</w:t>
      </w:r>
      <w:r w:rsidR="00496108">
        <w:t xml:space="preserve">” and “How can we better align efforts to sustain </w:t>
      </w:r>
      <w:r w:rsidR="00A36868">
        <w:t xml:space="preserve">these </w:t>
      </w:r>
      <w:r w:rsidR="00496108">
        <w:t>changes</w:t>
      </w:r>
      <w:r w:rsidR="00201E80">
        <w:t>.</w:t>
      </w:r>
      <w:r w:rsidR="00496108">
        <w:t>”</w:t>
      </w:r>
    </w:p>
    <w:p w14:paraId="2D2DA689" w14:textId="77777777" w:rsidR="00F857F3" w:rsidRDefault="00F857F3" w:rsidP="00447157"/>
    <w:p w14:paraId="40D6FB59" w14:textId="4708B4DD" w:rsidR="006371DC" w:rsidRDefault="006371DC" w:rsidP="006371DC">
      <w:r>
        <w:t xml:space="preserve">The Community PSE Exploration Guide </w:t>
      </w:r>
      <w:r w:rsidR="00F857F3">
        <w:t xml:space="preserve">is made up of </w:t>
      </w:r>
      <w:r w:rsidR="00101649">
        <w:t xml:space="preserve">three steps: </w:t>
      </w:r>
    </w:p>
    <w:p w14:paraId="3B161510" w14:textId="59D82F31" w:rsidR="006371DC" w:rsidRDefault="00447157" w:rsidP="00AD0EEE">
      <w:pPr>
        <w:pStyle w:val="ListParagraph"/>
        <w:numPr>
          <w:ilvl w:val="0"/>
          <w:numId w:val="18"/>
        </w:numPr>
      </w:pPr>
      <w:r w:rsidRPr="00AD0EEE">
        <w:rPr>
          <w:b/>
          <w:bCs/>
        </w:rPr>
        <w:t xml:space="preserve">Community </w:t>
      </w:r>
      <w:r w:rsidR="00A36868" w:rsidRPr="00AD0EEE">
        <w:rPr>
          <w:b/>
          <w:bCs/>
        </w:rPr>
        <w:t>Discovery</w:t>
      </w:r>
      <w:r w:rsidR="003104AB">
        <w:rPr>
          <w:b/>
          <w:bCs/>
        </w:rPr>
        <w:t>,</w:t>
      </w:r>
      <w:r w:rsidR="006371DC">
        <w:t xml:space="preserve"> which includes gathering community </w:t>
      </w:r>
      <w:proofErr w:type="gramStart"/>
      <w:r w:rsidR="006371DC">
        <w:t>information</w:t>
      </w:r>
      <w:r w:rsidR="003104AB">
        <w:t>;</w:t>
      </w:r>
      <w:proofErr w:type="gramEnd"/>
      <w:r>
        <w:t xml:space="preserve"> </w:t>
      </w:r>
    </w:p>
    <w:p w14:paraId="0FB61A48" w14:textId="55974CBB" w:rsidR="006371DC" w:rsidRDefault="00447157" w:rsidP="00AD0EEE">
      <w:pPr>
        <w:pStyle w:val="ListParagraph"/>
        <w:numPr>
          <w:ilvl w:val="0"/>
          <w:numId w:val="18"/>
        </w:numPr>
      </w:pPr>
      <w:r w:rsidRPr="00AD0EEE">
        <w:rPr>
          <w:b/>
          <w:bCs/>
        </w:rPr>
        <w:t xml:space="preserve">Community </w:t>
      </w:r>
      <w:r w:rsidR="00BB29E1" w:rsidRPr="00AD0EEE">
        <w:rPr>
          <w:b/>
          <w:bCs/>
        </w:rPr>
        <w:t>Conversation and Prioritization</w:t>
      </w:r>
      <w:r w:rsidR="006371DC">
        <w:t xml:space="preserve">, which includes synthesizing the information and </w:t>
      </w:r>
      <w:r w:rsidR="00921260">
        <w:t>identifying</w:t>
      </w:r>
      <w:r w:rsidR="006371DC">
        <w:t xml:space="preserve"> </w:t>
      </w:r>
      <w:r w:rsidR="00113BDB">
        <w:t>priority strategies based on</w:t>
      </w:r>
      <w:r w:rsidR="006371DC">
        <w:t xml:space="preserve"> community needs</w:t>
      </w:r>
      <w:r w:rsidR="003104AB">
        <w:t>;</w:t>
      </w:r>
      <w:r w:rsidR="006371DC">
        <w:t xml:space="preserve"> </w:t>
      </w:r>
      <w:r>
        <w:t xml:space="preserve">and </w:t>
      </w:r>
    </w:p>
    <w:p w14:paraId="454D4487" w14:textId="78AB8FD2" w:rsidR="006371DC" w:rsidRDefault="00101649" w:rsidP="00AD0EEE">
      <w:pPr>
        <w:pStyle w:val="ListParagraph"/>
        <w:numPr>
          <w:ilvl w:val="0"/>
          <w:numId w:val="18"/>
        </w:numPr>
      </w:pPr>
      <w:r w:rsidRPr="00AD0EEE">
        <w:rPr>
          <w:b/>
          <w:bCs/>
        </w:rPr>
        <w:t>Action Plan</w:t>
      </w:r>
      <w:r w:rsidR="00A36868" w:rsidRPr="00AD0EEE">
        <w:rPr>
          <w:b/>
          <w:bCs/>
        </w:rPr>
        <w:t>ning</w:t>
      </w:r>
      <w:r w:rsidR="006371DC">
        <w:t xml:space="preserve">, which informs future direction and clearly articulates </w:t>
      </w:r>
      <w:r w:rsidR="00113BDB">
        <w:t>action step</w:t>
      </w:r>
      <w:r w:rsidR="006371DC">
        <w:t xml:space="preserve">s and outcomes. </w:t>
      </w:r>
    </w:p>
    <w:p w14:paraId="0D90F43A" w14:textId="77777777" w:rsidR="006371DC" w:rsidRDefault="006371DC" w:rsidP="006371DC"/>
    <w:p w14:paraId="2FFDA185" w14:textId="28678B49" w:rsidR="008F5DCE" w:rsidRDefault="00496108">
      <w:r>
        <w:t xml:space="preserve">This </w:t>
      </w:r>
      <w:r w:rsidR="00A36868">
        <w:t>three-step</w:t>
      </w:r>
      <w:r>
        <w:t xml:space="preserve"> </w:t>
      </w:r>
      <w:r w:rsidR="00C912CF">
        <w:t>P</w:t>
      </w:r>
      <w:r>
        <w:t xml:space="preserve">rocess </w:t>
      </w:r>
      <w:r w:rsidR="006D63B7">
        <w:t>follow</w:t>
      </w:r>
      <w:r w:rsidR="009B3280">
        <w:t>s</w:t>
      </w:r>
      <w:r w:rsidR="006D63B7">
        <w:t xml:space="preserve"> best practices.</w:t>
      </w:r>
      <w:r w:rsidR="00101649">
        <w:t xml:space="preserve"> </w:t>
      </w:r>
      <w:r w:rsidR="008F5DCE">
        <w:t xml:space="preserve">The Guide also provides resources to assist in completing each step. If you have existing data, relationships, and/or relevant resources, </w:t>
      </w:r>
      <w:r w:rsidR="00113BDB">
        <w:t>that information can be utilized</w:t>
      </w:r>
      <w:r w:rsidR="008F5DCE">
        <w:t>. And while</w:t>
      </w:r>
      <w:r w:rsidR="008F5DCE" w:rsidRPr="00AA43D8">
        <w:t xml:space="preserve"> some</w:t>
      </w:r>
      <w:r w:rsidR="008F5DCE">
        <w:t xml:space="preserve"> information can be found online</w:t>
      </w:r>
      <w:r w:rsidR="008F5DCE" w:rsidRPr="00AA43D8">
        <w:t xml:space="preserve">, </w:t>
      </w:r>
      <w:r w:rsidR="008F5DCE">
        <w:t xml:space="preserve">the exploration </w:t>
      </w:r>
      <w:r w:rsidR="008F5DCE" w:rsidRPr="00AA43D8">
        <w:t>is meant to take you into the community.</w:t>
      </w:r>
    </w:p>
    <w:p w14:paraId="184EB806" w14:textId="77777777" w:rsidR="00447157" w:rsidRDefault="00447157" w:rsidP="00447157"/>
    <w:p w14:paraId="230B1DF8" w14:textId="571F88B3" w:rsidR="006B6689" w:rsidRDefault="00113BDB" w:rsidP="00447157">
      <w:r>
        <w:t xml:space="preserve">Forming a team to complete this </w:t>
      </w:r>
      <w:r w:rsidR="00CC4D0C">
        <w:t>P</w:t>
      </w:r>
      <w:r>
        <w:t>rocess is integral to success. Y</w:t>
      </w:r>
      <w:r w:rsidR="00101649" w:rsidRPr="00113BDB">
        <w:t>ou are</w:t>
      </w:r>
      <w:r w:rsidR="006B6689" w:rsidRPr="00113BDB">
        <w:t xml:space="preserve"> strongly encouraged </w:t>
      </w:r>
      <w:r w:rsidR="00101649" w:rsidRPr="00113BDB">
        <w:t>to</w:t>
      </w:r>
      <w:r w:rsidR="00101649" w:rsidRPr="006D63B7">
        <w:t xml:space="preserve"> </w:t>
      </w:r>
      <w:r w:rsidR="006B6689" w:rsidRPr="006D63B7">
        <w:t xml:space="preserve">bring together a trusted and diverse group of committed partners </w:t>
      </w:r>
      <w:r w:rsidR="00A36868">
        <w:t>and stakeholders to</w:t>
      </w:r>
      <w:r w:rsidR="00A36868" w:rsidRPr="006D63B7">
        <w:t xml:space="preserve"> </w:t>
      </w:r>
      <w:r w:rsidR="006B6689" w:rsidRPr="006D63B7">
        <w:t xml:space="preserve">share responsibilities and insights that emerge from the PSE </w:t>
      </w:r>
      <w:r w:rsidR="00D05A5F" w:rsidRPr="006D63B7">
        <w:t>e</w:t>
      </w:r>
      <w:r w:rsidR="006B6689" w:rsidRPr="006D63B7">
        <w:t xml:space="preserve">xploration </w:t>
      </w:r>
      <w:r w:rsidR="00CC4D0C">
        <w:t>P</w:t>
      </w:r>
      <w:r w:rsidR="006B6689" w:rsidRPr="006D63B7">
        <w:t xml:space="preserve">rocess. </w:t>
      </w:r>
      <w:r w:rsidR="006D63B7">
        <w:t>O</w:t>
      </w:r>
      <w:r w:rsidR="006D63B7" w:rsidRPr="00A32B3D">
        <w:t>ne of the best ways to improve health equity is through</w:t>
      </w:r>
      <w:r w:rsidR="006D63B7">
        <w:t xml:space="preserve"> </w:t>
      </w:r>
      <w:r w:rsidR="006D63B7" w:rsidRPr="00A32B3D">
        <w:t xml:space="preserve">intentional and formal community-driven </w:t>
      </w:r>
      <w:r w:rsidR="006D63B7">
        <w:t>partnership</w:t>
      </w:r>
      <w:r w:rsidR="00840481">
        <w:t xml:space="preserve">s with </w:t>
      </w:r>
      <w:r w:rsidR="00AE23FB">
        <w:t xml:space="preserve">invested </w:t>
      </w:r>
      <w:r w:rsidR="00840481">
        <w:t xml:space="preserve">partners </w:t>
      </w:r>
      <w:r w:rsidR="00AD0EEE">
        <w:t>who</w:t>
      </w:r>
      <w:r w:rsidR="00840481">
        <w:t xml:space="preserve"> lead and support the steps. </w:t>
      </w:r>
      <w:r w:rsidR="00AD5076">
        <w:t xml:space="preserve">For the team to function </w:t>
      </w:r>
      <w:r w:rsidR="00AD5076" w:rsidRPr="00AD5076">
        <w:t>well, it</w:t>
      </w:r>
      <w:r w:rsidR="005D6920" w:rsidRPr="00AD5076">
        <w:t xml:space="preserve"> is important to set </w:t>
      </w:r>
      <w:r w:rsidR="00AD5076" w:rsidRPr="00AD5076">
        <w:t xml:space="preserve">clear </w:t>
      </w:r>
      <w:r w:rsidR="005D6920" w:rsidRPr="00AD5076">
        <w:t>expectations and roles</w:t>
      </w:r>
      <w:r w:rsidR="00AD5076" w:rsidRPr="00AD5076">
        <w:t xml:space="preserve"> along with a realistic timeline.</w:t>
      </w:r>
    </w:p>
    <w:p w14:paraId="538B3F9D" w14:textId="77777777" w:rsidR="006B6689" w:rsidRDefault="006B6689" w:rsidP="00447157"/>
    <w:p w14:paraId="713F87F1" w14:textId="40D91583" w:rsidR="00496108" w:rsidRDefault="00AD0EEE" w:rsidP="00496108">
      <w:r>
        <w:rPr>
          <w:bCs/>
        </w:rPr>
        <w:t>You</w:t>
      </w:r>
      <w:r w:rsidR="008F5DCE" w:rsidRPr="00A32B3D">
        <w:rPr>
          <w:bCs/>
        </w:rPr>
        <w:t xml:space="preserve"> </w:t>
      </w:r>
      <w:r w:rsidR="00550102">
        <w:rPr>
          <w:bCs/>
        </w:rPr>
        <w:t>will</w:t>
      </w:r>
      <w:r w:rsidR="00550102" w:rsidRPr="00A32B3D">
        <w:rPr>
          <w:bCs/>
        </w:rPr>
        <w:t xml:space="preserve"> </w:t>
      </w:r>
      <w:r w:rsidR="008F5DCE" w:rsidRPr="00A32B3D">
        <w:rPr>
          <w:bCs/>
        </w:rPr>
        <w:t xml:space="preserve">complete </w:t>
      </w:r>
      <w:r w:rsidR="00557FBE">
        <w:rPr>
          <w:bCs/>
        </w:rPr>
        <w:t>S</w:t>
      </w:r>
      <w:r w:rsidR="00840481" w:rsidRPr="00A32B3D">
        <w:rPr>
          <w:bCs/>
        </w:rPr>
        <w:t>tep</w:t>
      </w:r>
      <w:r w:rsidR="00840481">
        <w:rPr>
          <w:bCs/>
        </w:rPr>
        <w:t>s</w:t>
      </w:r>
      <w:r w:rsidR="00840481" w:rsidRPr="00A32B3D">
        <w:rPr>
          <w:bCs/>
        </w:rPr>
        <w:t xml:space="preserve"> </w:t>
      </w:r>
      <w:r w:rsidR="008F5DCE" w:rsidRPr="00A32B3D">
        <w:rPr>
          <w:bCs/>
        </w:rPr>
        <w:t>1</w:t>
      </w:r>
      <w:r w:rsidR="00550102">
        <w:rPr>
          <w:bCs/>
        </w:rPr>
        <w:t xml:space="preserve">, </w:t>
      </w:r>
      <w:r w:rsidR="008F5DCE" w:rsidRPr="00A32B3D">
        <w:rPr>
          <w:bCs/>
        </w:rPr>
        <w:t>2</w:t>
      </w:r>
      <w:r w:rsidR="00550102">
        <w:rPr>
          <w:bCs/>
        </w:rPr>
        <w:t>, and</w:t>
      </w:r>
      <w:r w:rsidR="00C83A00" w:rsidRPr="00C83A00">
        <w:t xml:space="preserve"> 3</w:t>
      </w:r>
      <w:r>
        <w:t xml:space="preserve"> for each community</w:t>
      </w:r>
      <w:r w:rsidR="00CC4D0C">
        <w:t xml:space="preserve"> you decide to work with on PSE</w:t>
      </w:r>
      <w:r w:rsidR="00550102">
        <w:t>.</w:t>
      </w:r>
      <w:r w:rsidR="008F5DCE" w:rsidRPr="00C83A00">
        <w:t xml:space="preserve"> </w:t>
      </w:r>
      <w:r w:rsidR="00496108">
        <w:t>Each step has its own worksheet to help you complete the exploration activities</w:t>
      </w:r>
      <w:r w:rsidR="00AE23FB">
        <w:t>, and each step builds on the previous ones</w:t>
      </w:r>
      <w:r w:rsidR="00496108">
        <w:t xml:space="preserve">. </w:t>
      </w:r>
      <w:r w:rsidR="003104AB">
        <w:t>R</w:t>
      </w:r>
      <w:r w:rsidR="00496108">
        <w:t xml:space="preserve">eview </w:t>
      </w:r>
      <w:r>
        <w:t>all the materials before you begin to help</w:t>
      </w:r>
      <w:r w:rsidR="00496108">
        <w:t xml:space="preserve"> you </w:t>
      </w:r>
      <w:r w:rsidR="00550102">
        <w:t xml:space="preserve">understand </w:t>
      </w:r>
      <w:r w:rsidR="00496108">
        <w:t xml:space="preserve">the </w:t>
      </w:r>
      <w:r w:rsidR="00C912CF">
        <w:t xml:space="preserve">Process </w:t>
      </w:r>
      <w:r w:rsidR="00550102">
        <w:t xml:space="preserve">you and your team will be </w:t>
      </w:r>
      <w:r>
        <w:t>undertaking</w:t>
      </w:r>
      <w:r w:rsidR="00496108">
        <w:t xml:space="preserve">. </w:t>
      </w:r>
    </w:p>
    <w:p w14:paraId="4C698F4C" w14:textId="2EA739F0" w:rsidR="008F5DCE" w:rsidRDefault="008F5DCE" w:rsidP="008F5DCE"/>
    <w:p w14:paraId="5731B030" w14:textId="68B95871" w:rsidR="00CC0818" w:rsidRPr="00CC0818" w:rsidRDefault="00447157" w:rsidP="00447157">
      <w:pPr>
        <w:rPr>
          <w:color w:val="13334C" w:themeColor="text2"/>
          <w:sz w:val="24"/>
        </w:rPr>
      </w:pPr>
      <w:r w:rsidRPr="00CC0818">
        <w:rPr>
          <w:b/>
          <w:color w:val="13334C" w:themeColor="text2"/>
          <w:sz w:val="24"/>
        </w:rPr>
        <w:t>Timeline</w:t>
      </w:r>
    </w:p>
    <w:p w14:paraId="4092CFA9" w14:textId="22215981" w:rsidR="00F25D06" w:rsidRDefault="00447157">
      <w:pPr>
        <w:rPr>
          <w:rFonts w:cs="Calibri"/>
        </w:rPr>
      </w:pPr>
      <w:r>
        <w:t xml:space="preserve">The time it takes </w:t>
      </w:r>
      <w:r w:rsidR="00AD5076">
        <w:t>to complete</w:t>
      </w:r>
      <w:r>
        <w:t xml:space="preserve"> each step will vary by community</w:t>
      </w:r>
      <w:r w:rsidR="005D6920">
        <w:t xml:space="preserve"> </w:t>
      </w:r>
      <w:r w:rsidR="00AE23FB">
        <w:t xml:space="preserve">and depends </w:t>
      </w:r>
      <w:r>
        <w:t xml:space="preserve">on </w:t>
      </w:r>
      <w:r w:rsidR="00AD5076">
        <w:t xml:space="preserve">a variety of factors such as </w:t>
      </w:r>
      <w:r>
        <w:t>pre-existing assessment</w:t>
      </w:r>
      <w:r w:rsidR="00A213CE">
        <w:t>s</w:t>
      </w:r>
      <w:r w:rsidR="005D6920">
        <w:t>, the</w:t>
      </w:r>
      <w:r w:rsidR="00496108">
        <w:t xml:space="preserve"> level </w:t>
      </w:r>
      <w:r w:rsidR="005D6920">
        <w:t xml:space="preserve">of </w:t>
      </w:r>
      <w:r w:rsidR="00840481" w:rsidRPr="00C83A00">
        <w:t>stakeholder</w:t>
      </w:r>
      <w:r w:rsidR="00A213CE">
        <w:t xml:space="preserve"> engagement</w:t>
      </w:r>
      <w:r w:rsidR="005D6920">
        <w:t xml:space="preserve">, </w:t>
      </w:r>
      <w:r w:rsidR="00496108">
        <w:t xml:space="preserve">and </w:t>
      </w:r>
      <w:r w:rsidRPr="00C83A00">
        <w:t xml:space="preserve">preceding PSE </w:t>
      </w:r>
      <w:r w:rsidR="005D6920">
        <w:t>efforts</w:t>
      </w:r>
      <w:r w:rsidRPr="00C83A00">
        <w:t xml:space="preserve">. For most </w:t>
      </w:r>
      <w:r w:rsidR="00AD5076">
        <w:t>teams</w:t>
      </w:r>
      <w:r w:rsidRPr="00C83A00">
        <w:t>,</w:t>
      </w:r>
      <w:r w:rsidR="00AD5076">
        <w:t xml:space="preserve"> </w:t>
      </w:r>
      <w:r w:rsidR="00CC4D0C">
        <w:t>this Process</w:t>
      </w:r>
      <w:r w:rsidR="0052571D">
        <w:t xml:space="preserve"> can be completed in a year—</w:t>
      </w:r>
      <w:r w:rsidR="00C2349C">
        <w:t>S</w:t>
      </w:r>
      <w:r w:rsidR="00C2349C" w:rsidRPr="00C83A00">
        <w:t xml:space="preserve">tep </w:t>
      </w:r>
      <w:r w:rsidR="009B3280" w:rsidRPr="00C83A00">
        <w:t xml:space="preserve">1 </w:t>
      </w:r>
      <w:r w:rsidR="009B3280">
        <w:t>(</w:t>
      </w:r>
      <w:r w:rsidR="009B3280" w:rsidRPr="00C83A00">
        <w:t xml:space="preserve">Community </w:t>
      </w:r>
      <w:r w:rsidR="00C2349C">
        <w:t>Discovery</w:t>
      </w:r>
      <w:r w:rsidR="009B3280">
        <w:t xml:space="preserve">) </w:t>
      </w:r>
      <w:r w:rsidRPr="00C83A00">
        <w:t>take</w:t>
      </w:r>
      <w:r w:rsidR="009B3280">
        <w:t>s</w:t>
      </w:r>
      <w:r w:rsidRPr="00C83A00">
        <w:t xml:space="preserve"> </w:t>
      </w:r>
      <w:r w:rsidR="00CC0818" w:rsidRPr="00C83A00">
        <w:t>four to six</w:t>
      </w:r>
      <w:r w:rsidRPr="00C83A00">
        <w:t xml:space="preserve"> months</w:t>
      </w:r>
      <w:r w:rsidR="009B3280">
        <w:t>,</w:t>
      </w:r>
      <w:r w:rsidRPr="00C83A00">
        <w:t xml:space="preserve"> </w:t>
      </w:r>
      <w:r w:rsidR="00C2349C">
        <w:t>S</w:t>
      </w:r>
      <w:r w:rsidR="00C2349C" w:rsidRPr="00C83A00">
        <w:t xml:space="preserve">tep </w:t>
      </w:r>
      <w:r w:rsidR="009B3280">
        <w:t>2</w:t>
      </w:r>
      <w:r w:rsidRPr="00C83A00">
        <w:t xml:space="preserve"> </w:t>
      </w:r>
      <w:r w:rsidR="00496108">
        <w:t>(</w:t>
      </w:r>
      <w:r w:rsidR="009B3280">
        <w:t xml:space="preserve">Community Conversation and </w:t>
      </w:r>
      <w:r w:rsidR="00840481">
        <w:t>Prioritization</w:t>
      </w:r>
      <w:r w:rsidR="00840481" w:rsidRPr="00C83A00" w:rsidDel="009B3280">
        <w:t>)</w:t>
      </w:r>
      <w:r w:rsidR="00CC0818" w:rsidRPr="00C83A00">
        <w:t xml:space="preserve"> </w:t>
      </w:r>
      <w:r w:rsidR="009B3280">
        <w:t xml:space="preserve">takes </w:t>
      </w:r>
      <w:r w:rsidR="00CC0818" w:rsidRPr="00C83A00">
        <w:t>three</w:t>
      </w:r>
      <w:r w:rsidRPr="00C83A00">
        <w:t xml:space="preserve"> months, </w:t>
      </w:r>
      <w:r w:rsidR="00496108">
        <w:t xml:space="preserve">and </w:t>
      </w:r>
      <w:r w:rsidR="00C2349C">
        <w:t xml:space="preserve">Step </w:t>
      </w:r>
      <w:r w:rsidR="00496108">
        <w:t>3 (</w:t>
      </w:r>
      <w:r w:rsidRPr="00C83A00">
        <w:t>Action Plan</w:t>
      </w:r>
      <w:r w:rsidR="00C2349C">
        <w:t>ning</w:t>
      </w:r>
      <w:r w:rsidR="00CC0818" w:rsidRPr="00C83A00">
        <w:t xml:space="preserve">) </w:t>
      </w:r>
      <w:r w:rsidR="00AD5076">
        <w:t>takes</w:t>
      </w:r>
      <w:r w:rsidR="00F82FA2">
        <w:t xml:space="preserve"> about three months</w:t>
      </w:r>
      <w:r>
        <w:t>.</w:t>
      </w:r>
      <w:r w:rsidR="00AD5076">
        <w:t xml:space="preserve"> </w:t>
      </w:r>
    </w:p>
    <w:p w14:paraId="7931B225" w14:textId="1C40054D" w:rsidR="00840481" w:rsidRDefault="00840481">
      <w:pPr>
        <w:rPr>
          <w:rFonts w:cs="Calibri"/>
        </w:rPr>
      </w:pPr>
    </w:p>
    <w:p w14:paraId="63843FE2" w14:textId="1F9CDDB3" w:rsidR="00527557" w:rsidRDefault="00527557">
      <w:pPr>
        <w:rPr>
          <w:rFonts w:cs="Calibri"/>
        </w:rPr>
      </w:pPr>
    </w:p>
    <w:p w14:paraId="63939B3D" w14:textId="1636791F" w:rsidR="00964017" w:rsidRDefault="00964017">
      <w:pPr>
        <w:rPr>
          <w:rFonts w:cs="Calibri"/>
        </w:rPr>
      </w:pPr>
    </w:p>
    <w:p w14:paraId="42D14A84" w14:textId="77777777" w:rsidR="00AD5076" w:rsidRPr="00372003" w:rsidRDefault="00AD5076">
      <w:pPr>
        <w:rPr>
          <w:rFonts w:cs="Calibri"/>
        </w:rPr>
      </w:pPr>
    </w:p>
    <w:p w14:paraId="30B760B5" w14:textId="0E8A3177" w:rsidR="00372003" w:rsidRDefault="00372003"/>
    <w:p w14:paraId="0605C8AA" w14:textId="6453FA6F" w:rsidR="00372003" w:rsidRDefault="00FA44FB" w:rsidP="00FA44FB">
      <w:pPr>
        <w:tabs>
          <w:tab w:val="left" w:pos="7015"/>
        </w:tabs>
      </w:pPr>
      <w:r>
        <w:tab/>
      </w:r>
    </w:p>
    <w:p w14:paraId="26EFCB1F" w14:textId="23D3788F" w:rsidR="000E1E18" w:rsidRDefault="000E1E18"/>
    <w:p w14:paraId="585021ED" w14:textId="4CAE0CBD" w:rsidR="00134389" w:rsidRDefault="00134389" w:rsidP="000E1E18"/>
    <w:p w14:paraId="15326DBF" w14:textId="5548B487" w:rsidR="00134389" w:rsidRPr="00134389" w:rsidRDefault="00F82FA2" w:rsidP="00134389">
      <w:r>
        <w:rPr>
          <w:rFonts w:cs="Calibri"/>
          <w:noProof/>
        </w:rPr>
        <mc:AlternateContent>
          <mc:Choice Requires="wps">
            <w:drawing>
              <wp:anchor distT="0" distB="0" distL="114300" distR="114300" simplePos="0" relativeHeight="251652096" behindDoc="0" locked="0" layoutInCell="1" allowOverlap="1" wp14:anchorId="167437E3" wp14:editId="50380FD9">
                <wp:simplePos x="0" y="0"/>
                <wp:positionH relativeFrom="margin">
                  <wp:align>right</wp:align>
                </wp:positionH>
                <wp:positionV relativeFrom="paragraph">
                  <wp:posOffset>10160</wp:posOffset>
                </wp:positionV>
                <wp:extent cx="6297295" cy="338447"/>
                <wp:effectExtent l="0" t="0" r="8255" b="5080"/>
                <wp:wrapNone/>
                <wp:docPr id="5" name="Text Box 5"/>
                <wp:cNvGraphicFramePr/>
                <a:graphic xmlns:a="http://schemas.openxmlformats.org/drawingml/2006/main">
                  <a:graphicData uri="http://schemas.microsoft.com/office/word/2010/wordprocessingShape">
                    <wps:wsp>
                      <wps:cNvSpPr txBox="1"/>
                      <wps:spPr>
                        <a:xfrm>
                          <a:off x="0" y="0"/>
                          <a:ext cx="6297295" cy="338447"/>
                        </a:xfrm>
                        <a:prstGeom prst="rect">
                          <a:avLst/>
                        </a:prstGeom>
                        <a:solidFill>
                          <a:srgbClr val="22A6B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C4AEA9" w14:textId="4AD8BCC9" w:rsidR="00964017" w:rsidRPr="00A7667D" w:rsidRDefault="00CE500D" w:rsidP="00964017">
                            <w:pPr>
                              <w:rPr>
                                <w:rFonts w:cs="Calibri"/>
                                <w:b/>
                                <w:color w:val="FFFFFF" w:themeColor="background1"/>
                                <w:sz w:val="32"/>
                              </w:rPr>
                            </w:pPr>
                            <w:r w:rsidRPr="00A7667D">
                              <w:rPr>
                                <w:rFonts w:cs="Calibri"/>
                                <w:b/>
                                <w:color w:val="FFFFFF" w:themeColor="background1"/>
                                <w:sz w:val="32"/>
                              </w:rPr>
                              <w:t xml:space="preserve">STEP 1 — Community </w:t>
                            </w:r>
                            <w:r w:rsidR="00840481">
                              <w:rPr>
                                <w:rFonts w:cs="Calibri"/>
                                <w:b/>
                                <w:color w:val="FFFFFF" w:themeColor="background1"/>
                                <w:sz w:val="32"/>
                              </w:rPr>
                              <w:t>Discovery</w:t>
                            </w:r>
                            <w:r w:rsidR="00840481" w:rsidRPr="00A7667D">
                              <w:rPr>
                                <w:rFonts w:cs="Calibri"/>
                                <w:b/>
                                <w:color w:val="FFFFFF" w:themeColor="background1"/>
                                <w:sz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7437E3" id="_x0000_t202" coordsize="21600,21600" o:spt="202" path="m,l,21600r21600,l21600,xe">
                <v:stroke joinstyle="miter"/>
                <v:path gradientshapeok="t" o:connecttype="rect"/>
              </v:shapetype>
              <v:shape id="Text Box 5" o:spid="_x0000_s1026" type="#_x0000_t202" style="position:absolute;margin-left:444.65pt;margin-top:.8pt;width:495.85pt;height:26.6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" fillcolor="#22a6b3" stroked="f" strokeweight=".5pt">
                <v:textbox>
                  <w:txbxContent>
                    <w:p w14:paraId="26C4AEA9" w14:textId="4AD8BCC9" w:rsidR="00964017" w:rsidRPr="00A7667D" w:rsidRDefault="00CE500D" w:rsidP="00964017">
                      <w:pPr>
                        <w:rPr>
                          <w:rFonts w:cs="Calibri"/>
                          <w:b/>
                          <w:color w:val="FFFFFF" w:themeColor="background1"/>
                          <w:sz w:val="32"/>
                        </w:rPr>
                      </w:pPr>
                      <w:r w:rsidRPr="00A7667D">
                        <w:rPr>
                          <w:rFonts w:cs="Calibri"/>
                          <w:b/>
                          <w:color w:val="FFFFFF" w:themeColor="background1"/>
                          <w:sz w:val="32"/>
                        </w:rPr>
                        <w:t xml:space="preserve">STEP 1 — Community </w:t>
                      </w:r>
                      <w:r w:rsidR="00840481">
                        <w:rPr>
                          <w:rFonts w:cs="Calibri"/>
                          <w:b/>
                          <w:color w:val="FFFFFF" w:themeColor="background1"/>
                          <w:sz w:val="32"/>
                        </w:rPr>
                        <w:t>Discovery</w:t>
                      </w:r>
                      <w:r w:rsidR="00840481" w:rsidRPr="00A7667D">
                        <w:rPr>
                          <w:rFonts w:cs="Calibri"/>
                          <w:b/>
                          <w:color w:val="FFFFFF" w:themeColor="background1"/>
                          <w:sz w:val="32"/>
                        </w:rPr>
                        <w:t xml:space="preserve"> </w:t>
                      </w:r>
                    </w:p>
                  </w:txbxContent>
                </v:textbox>
                <w10:wrap anchorx="margin"/>
              </v:shape>
            </w:pict>
          </mc:Fallback>
        </mc:AlternateContent>
      </w:r>
    </w:p>
    <w:p w14:paraId="4AA8FA66" w14:textId="0A1C9EDD" w:rsidR="00134389" w:rsidRPr="00134389" w:rsidRDefault="00134389" w:rsidP="00134389"/>
    <w:p w14:paraId="4F9AF5DE" w14:textId="66986417" w:rsidR="00134389" w:rsidRPr="00134389" w:rsidRDefault="00F82FA2" w:rsidP="00134389">
      <w:r>
        <w:rPr>
          <w:noProof/>
        </w:rPr>
        <mc:AlternateContent>
          <mc:Choice Requires="wps">
            <w:drawing>
              <wp:anchor distT="0" distB="0" distL="114300" distR="114300" simplePos="0" relativeHeight="251653120" behindDoc="0" locked="0" layoutInCell="1" allowOverlap="1" wp14:anchorId="658CE2CE" wp14:editId="7F44B997">
                <wp:simplePos x="0" y="0"/>
                <wp:positionH relativeFrom="margin">
                  <wp:align>right</wp:align>
                </wp:positionH>
                <wp:positionV relativeFrom="paragraph">
                  <wp:posOffset>16510</wp:posOffset>
                </wp:positionV>
                <wp:extent cx="6297295" cy="2973705"/>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6297295" cy="2973705"/>
                        </a:xfrm>
                        <a:prstGeom prst="rect">
                          <a:avLst/>
                        </a:prstGeom>
                        <a:solidFill>
                          <a:srgbClr val="22A6B3">
                            <a:alpha val="3000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2449FC" w14:textId="4B9267F3" w:rsidR="0078749F" w:rsidRPr="00664F13" w:rsidRDefault="0078749F" w:rsidP="00CC0818">
                            <w:pPr>
                              <w:spacing w:after="120"/>
                              <w:rPr>
                                <w:b/>
                              </w:rPr>
                            </w:pPr>
                            <w:r w:rsidRPr="00664F13">
                              <w:rPr>
                                <w:b/>
                              </w:rPr>
                              <w:t>Refer to the</w:t>
                            </w:r>
                            <w:r w:rsidR="005D6859" w:rsidRPr="00664F13">
                              <w:rPr>
                                <w:b/>
                              </w:rPr>
                              <w:t xml:space="preserve"> document</w:t>
                            </w:r>
                            <w:r w:rsidRPr="00664F13">
                              <w:rPr>
                                <w:b/>
                              </w:rPr>
                              <w:t xml:space="preserve"> Step 1 - Community </w:t>
                            </w:r>
                            <w:r w:rsidR="00C2349C">
                              <w:rPr>
                                <w:b/>
                              </w:rPr>
                              <w:t>Discovery</w:t>
                            </w:r>
                          </w:p>
                          <w:p w14:paraId="7BD99F10" w14:textId="37135909" w:rsidR="004D0DC1" w:rsidRPr="00A32B3D" w:rsidRDefault="00F82FA2" w:rsidP="00CC0818">
                            <w:r>
                              <w:t>In this step your team will explore</w:t>
                            </w:r>
                            <w:r w:rsidR="0078749F" w:rsidRPr="00A32B3D">
                              <w:t xml:space="preserve"> </w:t>
                            </w:r>
                            <w:r w:rsidR="00964017" w:rsidRPr="00A32B3D">
                              <w:t>various components of a community’s context</w:t>
                            </w:r>
                            <w:r w:rsidR="00931056">
                              <w:t xml:space="preserve"> and gather community information</w:t>
                            </w:r>
                            <w:r w:rsidR="00964017" w:rsidRPr="00A32B3D">
                              <w:t xml:space="preserve">. </w:t>
                            </w:r>
                            <w:r w:rsidR="00BB29E1" w:rsidRPr="00A32B3D">
                              <w:t xml:space="preserve">The worksheets include </w:t>
                            </w:r>
                            <w:r w:rsidR="00964017" w:rsidRPr="00A32B3D">
                              <w:t xml:space="preserve">guiding questions </w:t>
                            </w:r>
                            <w:r w:rsidR="009B5358">
                              <w:t xml:space="preserve">teams </w:t>
                            </w:r>
                            <w:r>
                              <w:t>will</w:t>
                            </w:r>
                            <w:r w:rsidR="00964017" w:rsidRPr="00A32B3D">
                              <w:t xml:space="preserve"> answer about their </w:t>
                            </w:r>
                            <w:r w:rsidR="00C2349C" w:rsidRPr="00A32B3D">
                              <w:t>communit</w:t>
                            </w:r>
                            <w:r w:rsidR="00C2349C">
                              <w:t>y</w:t>
                            </w:r>
                            <w:r w:rsidR="00964017" w:rsidRPr="00A32B3D">
                              <w:t>. When completing the worksheet</w:t>
                            </w:r>
                            <w:r w:rsidR="00664F13" w:rsidRPr="00A32B3D">
                              <w:t>s</w:t>
                            </w:r>
                            <w:r w:rsidR="00964017" w:rsidRPr="00A32B3D">
                              <w:t>, list ideas</w:t>
                            </w:r>
                            <w:r w:rsidR="004E546E" w:rsidRPr="00A32B3D">
                              <w:t>,</w:t>
                            </w:r>
                            <w:r w:rsidR="00E36ABB" w:rsidRPr="00A32B3D">
                              <w:t xml:space="preserve"> notes</w:t>
                            </w:r>
                            <w:r w:rsidR="00C2349C">
                              <w:t>,</w:t>
                            </w:r>
                            <w:r w:rsidR="00E36ABB" w:rsidRPr="00A32B3D">
                              <w:t xml:space="preserve"> </w:t>
                            </w:r>
                            <w:r w:rsidR="00964017" w:rsidRPr="00A32B3D">
                              <w:t xml:space="preserve">and answers collected. </w:t>
                            </w:r>
                            <w:r w:rsidR="00E47CAB" w:rsidRPr="00A32B3D">
                              <w:rPr>
                                <w:rFonts w:asciiTheme="majorHAnsi" w:hAnsiTheme="majorHAnsi" w:cstheme="majorHAnsi"/>
                              </w:rPr>
                              <w:t xml:space="preserve">Refer </w:t>
                            </w:r>
                            <w:r w:rsidR="00E47CAB" w:rsidRPr="00A32B3D">
                              <w:t>to</w:t>
                            </w:r>
                            <w:r w:rsidR="0078749F" w:rsidRPr="00A32B3D">
                              <w:t xml:space="preserve"> the </w:t>
                            </w:r>
                            <w:r w:rsidR="00964017" w:rsidRPr="00A32B3D">
                              <w:t xml:space="preserve">Resources </w:t>
                            </w:r>
                            <w:r w:rsidR="003576F3" w:rsidRPr="00A32B3D">
                              <w:t>section</w:t>
                            </w:r>
                            <w:r w:rsidR="0075671D" w:rsidRPr="00A32B3D">
                              <w:t xml:space="preserve"> of this</w:t>
                            </w:r>
                            <w:r w:rsidR="00964017" w:rsidRPr="00A32B3D">
                              <w:t xml:space="preserve"> Guide for </w:t>
                            </w:r>
                            <w:r w:rsidR="00D05B7F" w:rsidRPr="00A32B3D">
                              <w:t>additional</w:t>
                            </w:r>
                            <w:r w:rsidR="00964017" w:rsidRPr="00A32B3D">
                              <w:t xml:space="preserve"> guidance</w:t>
                            </w:r>
                            <w:r w:rsidR="008C423E" w:rsidRPr="00A32B3D">
                              <w:t>.</w:t>
                            </w:r>
                            <w:r w:rsidR="000E3D64" w:rsidRPr="00A32B3D">
                              <w:t xml:space="preserve"> </w:t>
                            </w:r>
                          </w:p>
                          <w:p w14:paraId="7BE4C720" w14:textId="28A8705D" w:rsidR="00CC0818" w:rsidRPr="00A32B3D" w:rsidRDefault="00CC0818" w:rsidP="00CC0818"/>
                          <w:p w14:paraId="56A1DB47" w14:textId="71E6779B" w:rsidR="00F25D06" w:rsidRPr="00A32B3D" w:rsidRDefault="00F25D06" w:rsidP="00F25D06">
                            <w:r w:rsidRPr="00A32B3D">
                              <w:t xml:space="preserve">An effective </w:t>
                            </w:r>
                            <w:r w:rsidR="00C2349C">
                              <w:t>discovery process</w:t>
                            </w:r>
                            <w:r w:rsidR="00C2349C" w:rsidRPr="00A32B3D">
                              <w:t xml:space="preserve"> </w:t>
                            </w:r>
                            <w:r w:rsidRPr="00A32B3D">
                              <w:t>requires that you</w:t>
                            </w:r>
                            <w:r w:rsidR="00AA2906">
                              <w:t xml:space="preserve"> and your team</w:t>
                            </w:r>
                            <w:r w:rsidRPr="00A32B3D">
                              <w:t xml:space="preserve"> talk </w:t>
                            </w:r>
                            <w:r w:rsidR="00AA2906">
                              <w:t>with</w:t>
                            </w:r>
                            <w:r w:rsidRPr="00A32B3D">
                              <w:t xml:space="preserve"> community organizations, program participants, and other community members. Once the Community </w:t>
                            </w:r>
                            <w:r w:rsidR="00C2349C">
                              <w:t>Discovery</w:t>
                            </w:r>
                            <w:r w:rsidRPr="00A32B3D">
                              <w:t xml:space="preserve"> worksheet</w:t>
                            </w:r>
                            <w:r w:rsidR="00664F13" w:rsidRPr="00A32B3D">
                              <w:t>s</w:t>
                            </w:r>
                            <w:r w:rsidRPr="00A32B3D">
                              <w:t xml:space="preserve"> </w:t>
                            </w:r>
                            <w:r w:rsidR="00664F13" w:rsidRPr="00A32B3D">
                              <w:t xml:space="preserve">are </w:t>
                            </w:r>
                            <w:r w:rsidRPr="00A32B3D">
                              <w:t xml:space="preserve">complete, </w:t>
                            </w:r>
                            <w:r w:rsidR="009B5358">
                              <w:t>teams</w:t>
                            </w:r>
                            <w:r w:rsidR="00664F13" w:rsidRPr="00A32B3D">
                              <w:t xml:space="preserve"> </w:t>
                            </w:r>
                            <w:r w:rsidR="00AA2906">
                              <w:t>will</w:t>
                            </w:r>
                            <w:r w:rsidRPr="00A32B3D">
                              <w:t xml:space="preserve"> have enough </w:t>
                            </w:r>
                            <w:r w:rsidR="00AA2906">
                              <w:t>information</w:t>
                            </w:r>
                            <w:r w:rsidRPr="00A32B3D">
                              <w:t xml:space="preserve"> to confidently </w:t>
                            </w:r>
                            <w:r w:rsidR="00C66FE0">
                              <w:t xml:space="preserve">move </w:t>
                            </w:r>
                            <w:r w:rsidRPr="00A32B3D">
                              <w:t xml:space="preserve">into </w:t>
                            </w:r>
                            <w:r w:rsidR="00C2349C">
                              <w:t>S</w:t>
                            </w:r>
                            <w:r w:rsidRPr="00A32B3D">
                              <w:t>tep 2: Community Conversation and Prioritization.</w:t>
                            </w:r>
                          </w:p>
                          <w:p w14:paraId="1A661660" w14:textId="77777777" w:rsidR="00F25D06" w:rsidRPr="00A32B3D" w:rsidRDefault="00F25D06" w:rsidP="00F25D06"/>
                          <w:p w14:paraId="597523B6" w14:textId="4538D470" w:rsidR="00F25D06" w:rsidRPr="00A32B3D" w:rsidRDefault="00F25D06" w:rsidP="00F25D06">
                            <w:pPr>
                              <w:rPr>
                                <w:i/>
                              </w:rPr>
                            </w:pPr>
                            <w:r w:rsidRPr="00A32B3D">
                              <w:rPr>
                                <w:i/>
                              </w:rPr>
                              <w:t xml:space="preserve">Please note that each community has its own unique context; </w:t>
                            </w:r>
                            <w:r w:rsidR="00C66FE0" w:rsidRPr="00A32B3D">
                              <w:rPr>
                                <w:i/>
                              </w:rPr>
                              <w:t>therefore,</w:t>
                            </w:r>
                            <w:r w:rsidRPr="00A32B3D">
                              <w:rPr>
                                <w:i/>
                              </w:rPr>
                              <w:t xml:space="preserve"> </w:t>
                            </w:r>
                            <w:r w:rsidR="00C66FE0">
                              <w:rPr>
                                <w:i/>
                              </w:rPr>
                              <w:t>n</w:t>
                            </w:r>
                            <w:r w:rsidRPr="00A32B3D">
                              <w:rPr>
                                <w:i/>
                              </w:rPr>
                              <w:t xml:space="preserve">ot all questions may be relevant for each community. </w:t>
                            </w:r>
                            <w:r w:rsidRPr="00AA2906">
                              <w:rPr>
                                <w:bCs/>
                                <w:i/>
                              </w:rPr>
                              <w:t>If a question doesn’t apply to your community, answer the question with a brief description of why it does</w:t>
                            </w:r>
                            <w:r w:rsidR="00664F13" w:rsidRPr="00AA2906">
                              <w:rPr>
                                <w:bCs/>
                                <w:i/>
                              </w:rPr>
                              <w:t xml:space="preserve"> </w:t>
                            </w:r>
                            <w:r w:rsidRPr="00AA2906">
                              <w:rPr>
                                <w:bCs/>
                                <w:i/>
                              </w:rPr>
                              <w:t>n</w:t>
                            </w:r>
                            <w:r w:rsidR="00664F13" w:rsidRPr="00AA2906">
                              <w:rPr>
                                <w:bCs/>
                                <w:i/>
                              </w:rPr>
                              <w:t>o</w:t>
                            </w:r>
                            <w:r w:rsidRPr="00AA2906">
                              <w:rPr>
                                <w:bCs/>
                                <w:i/>
                              </w:rPr>
                              <w:t>t apply.</w:t>
                            </w:r>
                            <w:r w:rsidRPr="00A32B3D">
                              <w:rPr>
                                <w:i/>
                              </w:rPr>
                              <w:t xml:space="preserve"> </w:t>
                            </w:r>
                          </w:p>
                          <w:p w14:paraId="60EB7307" w14:textId="77777777" w:rsidR="00F25D06" w:rsidRPr="00A32B3D" w:rsidRDefault="00F25D06" w:rsidP="00CC0818"/>
                        </w:txbxContent>
                      </wps:txbx>
                      <wps:bodyPr rot="0" spcFirstLastPara="0" vertOverflow="overflow" horzOverflow="overflow" vert="horz" wrap="square" lIns="182880" tIns="137160" rIns="18288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CE2CE" id="Text Box 6" o:spid="_x0000_s1027" type="#_x0000_t202" style="position:absolute;margin-left:444.65pt;margin-top:1.3pt;width:495.85pt;height:234.1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" fillcolor="#22a6b3" stroked="f" strokeweight=".5pt">
                <v:fill opacity="19789f"/>
                <v:textbox inset="14.4pt,10.8pt,14.4pt,10.8pt">
                  <w:txbxContent>
                    <w:p w14:paraId="042449FC" w14:textId="4B9267F3" w:rsidR="0078749F" w:rsidRPr="00664F13" w:rsidRDefault="0078749F" w:rsidP="00CC0818">
                      <w:pPr>
                        <w:spacing w:after="120"/>
                        <w:rPr>
                          <w:b/>
                        </w:rPr>
                      </w:pPr>
                      <w:r w:rsidRPr="00664F13">
                        <w:rPr>
                          <w:b/>
                        </w:rPr>
                        <w:t>Refer to the</w:t>
                      </w:r>
                      <w:r w:rsidR="005D6859" w:rsidRPr="00664F13">
                        <w:rPr>
                          <w:b/>
                        </w:rPr>
                        <w:t xml:space="preserve"> document</w:t>
                      </w:r>
                      <w:r w:rsidRPr="00664F13">
                        <w:rPr>
                          <w:b/>
                        </w:rPr>
                        <w:t xml:space="preserve"> Step 1 - Community </w:t>
                      </w:r>
                      <w:r w:rsidR="00C2349C">
                        <w:rPr>
                          <w:b/>
                        </w:rPr>
                        <w:t>Discovery</w:t>
                      </w:r>
                    </w:p>
                    <w:p w14:paraId="7BD99F10" w14:textId="37135909" w:rsidR="004D0DC1" w:rsidRPr="00A32B3D" w:rsidRDefault="00F82FA2" w:rsidP="00CC0818">
                      <w:r>
                        <w:t>In this step your team will explore</w:t>
                      </w:r>
                      <w:r w:rsidR="0078749F" w:rsidRPr="00A32B3D">
                        <w:t xml:space="preserve"> </w:t>
                      </w:r>
                      <w:r w:rsidR="00964017" w:rsidRPr="00A32B3D">
                        <w:t>various components of a community’s context</w:t>
                      </w:r>
                      <w:r w:rsidR="00931056">
                        <w:t xml:space="preserve"> and gather community information</w:t>
                      </w:r>
                      <w:r w:rsidR="00964017" w:rsidRPr="00A32B3D">
                        <w:t xml:space="preserve">. </w:t>
                      </w:r>
                      <w:r w:rsidR="00BB29E1" w:rsidRPr="00A32B3D">
                        <w:t xml:space="preserve">The worksheets include </w:t>
                      </w:r>
                      <w:r w:rsidR="00964017" w:rsidRPr="00A32B3D">
                        <w:t xml:space="preserve">guiding questions </w:t>
                      </w:r>
                      <w:r w:rsidR="009B5358">
                        <w:t xml:space="preserve">teams </w:t>
                      </w:r>
                      <w:r>
                        <w:t>will</w:t>
                      </w:r>
                      <w:r w:rsidR="00964017" w:rsidRPr="00A32B3D">
                        <w:t xml:space="preserve"> answer about their </w:t>
                      </w:r>
                      <w:r w:rsidR="00C2349C" w:rsidRPr="00A32B3D">
                        <w:t>communit</w:t>
                      </w:r>
                      <w:r w:rsidR="00C2349C">
                        <w:t>y</w:t>
                      </w:r>
                      <w:r w:rsidR="00964017" w:rsidRPr="00A32B3D">
                        <w:t>. When completing the worksheet</w:t>
                      </w:r>
                      <w:r w:rsidR="00664F13" w:rsidRPr="00A32B3D">
                        <w:t>s</w:t>
                      </w:r>
                      <w:r w:rsidR="00964017" w:rsidRPr="00A32B3D">
                        <w:t>, list ideas</w:t>
                      </w:r>
                      <w:r w:rsidR="004E546E" w:rsidRPr="00A32B3D">
                        <w:t>,</w:t>
                      </w:r>
                      <w:r w:rsidR="00E36ABB" w:rsidRPr="00A32B3D">
                        <w:t xml:space="preserve"> notes</w:t>
                      </w:r>
                      <w:r w:rsidR="00C2349C">
                        <w:t>,</w:t>
                      </w:r>
                      <w:r w:rsidR="00E36ABB" w:rsidRPr="00A32B3D">
                        <w:t xml:space="preserve"> </w:t>
                      </w:r>
                      <w:r w:rsidR="00964017" w:rsidRPr="00A32B3D">
                        <w:t xml:space="preserve">and answers collected. </w:t>
                      </w:r>
                      <w:r w:rsidR="00E47CAB" w:rsidRPr="00A32B3D">
                        <w:rPr>
                          <w:rFonts w:asciiTheme="majorHAnsi" w:hAnsiTheme="majorHAnsi" w:cstheme="majorHAnsi"/>
                        </w:rPr>
                        <w:t xml:space="preserve">Refer </w:t>
                      </w:r>
                      <w:r w:rsidR="00E47CAB" w:rsidRPr="00A32B3D">
                        <w:t>to</w:t>
                      </w:r>
                      <w:r w:rsidR="0078749F" w:rsidRPr="00A32B3D">
                        <w:t xml:space="preserve"> the </w:t>
                      </w:r>
                      <w:r w:rsidR="00964017" w:rsidRPr="00A32B3D">
                        <w:t xml:space="preserve">Resources </w:t>
                      </w:r>
                      <w:r w:rsidR="003576F3" w:rsidRPr="00A32B3D">
                        <w:t>section</w:t>
                      </w:r>
                      <w:r w:rsidR="0075671D" w:rsidRPr="00A32B3D">
                        <w:t xml:space="preserve"> of this</w:t>
                      </w:r>
                      <w:r w:rsidR="00964017" w:rsidRPr="00A32B3D">
                        <w:t xml:space="preserve"> Guide for </w:t>
                      </w:r>
                      <w:r w:rsidR="00D05B7F" w:rsidRPr="00A32B3D">
                        <w:t>additional</w:t>
                      </w:r>
                      <w:r w:rsidR="00964017" w:rsidRPr="00A32B3D">
                        <w:t xml:space="preserve"> guidance</w:t>
                      </w:r>
                      <w:r w:rsidR="008C423E" w:rsidRPr="00A32B3D">
                        <w:t>.</w:t>
                      </w:r>
                      <w:r w:rsidR="000E3D64" w:rsidRPr="00A32B3D">
                        <w:t xml:space="preserve"> </w:t>
                      </w:r>
                    </w:p>
                    <w:p w14:paraId="7BE4C720" w14:textId="28A8705D" w:rsidR="00CC0818" w:rsidRPr="00A32B3D" w:rsidRDefault="00CC0818" w:rsidP="00CC0818"/>
                    <w:p w14:paraId="56A1DB47" w14:textId="71E6779B" w:rsidR="00F25D06" w:rsidRPr="00A32B3D" w:rsidRDefault="00F25D06" w:rsidP="00F25D06">
                      <w:r w:rsidRPr="00A32B3D">
                        <w:t xml:space="preserve">An effective </w:t>
                      </w:r>
                      <w:r w:rsidR="00C2349C">
                        <w:t>discovery process</w:t>
                      </w:r>
                      <w:r w:rsidR="00C2349C" w:rsidRPr="00A32B3D">
                        <w:t xml:space="preserve"> </w:t>
                      </w:r>
                      <w:r w:rsidRPr="00A32B3D">
                        <w:t>requires that you</w:t>
                      </w:r>
                      <w:r w:rsidR="00AA2906">
                        <w:t xml:space="preserve"> and your team</w:t>
                      </w:r>
                      <w:r w:rsidRPr="00A32B3D">
                        <w:t xml:space="preserve"> talk </w:t>
                      </w:r>
                      <w:r w:rsidR="00AA2906">
                        <w:t>with</w:t>
                      </w:r>
                      <w:r w:rsidRPr="00A32B3D">
                        <w:t xml:space="preserve"> community organizations, program participants, and other community members. Once the Community </w:t>
                      </w:r>
                      <w:r w:rsidR="00C2349C">
                        <w:t>Discovery</w:t>
                      </w:r>
                      <w:r w:rsidRPr="00A32B3D">
                        <w:t xml:space="preserve"> worksheet</w:t>
                      </w:r>
                      <w:r w:rsidR="00664F13" w:rsidRPr="00A32B3D">
                        <w:t>s</w:t>
                      </w:r>
                      <w:r w:rsidRPr="00A32B3D">
                        <w:t xml:space="preserve"> </w:t>
                      </w:r>
                      <w:r w:rsidR="00664F13" w:rsidRPr="00A32B3D">
                        <w:t xml:space="preserve">are </w:t>
                      </w:r>
                      <w:r w:rsidRPr="00A32B3D">
                        <w:t xml:space="preserve">complete, </w:t>
                      </w:r>
                      <w:r w:rsidR="009B5358">
                        <w:t>teams</w:t>
                      </w:r>
                      <w:r w:rsidR="00664F13" w:rsidRPr="00A32B3D">
                        <w:t xml:space="preserve"> </w:t>
                      </w:r>
                      <w:r w:rsidR="00AA2906">
                        <w:t>will</w:t>
                      </w:r>
                      <w:r w:rsidRPr="00A32B3D">
                        <w:t xml:space="preserve"> have enough </w:t>
                      </w:r>
                      <w:r w:rsidR="00AA2906">
                        <w:t>information</w:t>
                      </w:r>
                      <w:r w:rsidRPr="00A32B3D">
                        <w:t xml:space="preserve"> to confidently </w:t>
                      </w:r>
                      <w:r w:rsidR="00C66FE0">
                        <w:t xml:space="preserve">move </w:t>
                      </w:r>
                      <w:r w:rsidRPr="00A32B3D">
                        <w:t xml:space="preserve">into </w:t>
                      </w:r>
                      <w:r w:rsidR="00C2349C">
                        <w:t>S</w:t>
                      </w:r>
                      <w:r w:rsidRPr="00A32B3D">
                        <w:t>tep 2: Community Conversation and Prioritization.</w:t>
                      </w:r>
                    </w:p>
                    <w:p w14:paraId="1A661660" w14:textId="77777777" w:rsidR="00F25D06" w:rsidRPr="00A32B3D" w:rsidRDefault="00F25D06" w:rsidP="00F25D06"/>
                    <w:p w14:paraId="597523B6" w14:textId="4538D470" w:rsidR="00F25D06" w:rsidRPr="00A32B3D" w:rsidRDefault="00F25D06" w:rsidP="00F25D06">
                      <w:pPr>
                        <w:rPr>
                          <w:i/>
                        </w:rPr>
                      </w:pPr>
                      <w:r w:rsidRPr="00A32B3D">
                        <w:rPr>
                          <w:i/>
                        </w:rPr>
                        <w:t xml:space="preserve">Please note that each community has its own unique context; </w:t>
                      </w:r>
                      <w:r w:rsidR="00C66FE0" w:rsidRPr="00A32B3D">
                        <w:rPr>
                          <w:i/>
                        </w:rPr>
                        <w:t>therefore,</w:t>
                      </w:r>
                      <w:r w:rsidRPr="00A32B3D">
                        <w:rPr>
                          <w:i/>
                        </w:rPr>
                        <w:t xml:space="preserve"> </w:t>
                      </w:r>
                      <w:r w:rsidR="00C66FE0">
                        <w:rPr>
                          <w:i/>
                        </w:rPr>
                        <w:t>n</w:t>
                      </w:r>
                      <w:r w:rsidRPr="00A32B3D">
                        <w:rPr>
                          <w:i/>
                        </w:rPr>
                        <w:t xml:space="preserve">ot all questions may be relevant for each community. </w:t>
                      </w:r>
                      <w:r w:rsidRPr="00AA2906">
                        <w:rPr>
                          <w:bCs/>
                          <w:i/>
                        </w:rPr>
                        <w:t>If a question doesn’t apply to your community, answer the question with a brief description of why it does</w:t>
                      </w:r>
                      <w:r w:rsidR="00664F13" w:rsidRPr="00AA2906">
                        <w:rPr>
                          <w:bCs/>
                          <w:i/>
                        </w:rPr>
                        <w:t xml:space="preserve"> </w:t>
                      </w:r>
                      <w:r w:rsidRPr="00AA2906">
                        <w:rPr>
                          <w:bCs/>
                          <w:i/>
                        </w:rPr>
                        <w:t>n</w:t>
                      </w:r>
                      <w:r w:rsidR="00664F13" w:rsidRPr="00AA2906">
                        <w:rPr>
                          <w:bCs/>
                          <w:i/>
                        </w:rPr>
                        <w:t>o</w:t>
                      </w:r>
                      <w:r w:rsidRPr="00AA2906">
                        <w:rPr>
                          <w:bCs/>
                          <w:i/>
                        </w:rPr>
                        <w:t>t apply.</w:t>
                      </w:r>
                      <w:r w:rsidRPr="00A32B3D">
                        <w:rPr>
                          <w:i/>
                        </w:rPr>
                        <w:t xml:space="preserve"> </w:t>
                      </w:r>
                    </w:p>
                    <w:p w14:paraId="60EB7307" w14:textId="77777777" w:rsidR="00F25D06" w:rsidRPr="00A32B3D" w:rsidRDefault="00F25D06" w:rsidP="00CC0818"/>
                  </w:txbxContent>
                </v:textbox>
                <w10:wrap anchorx="margin"/>
              </v:shape>
            </w:pict>
          </mc:Fallback>
        </mc:AlternateContent>
      </w:r>
    </w:p>
    <w:p w14:paraId="06D72530" w14:textId="6B81D4CC" w:rsidR="00134389" w:rsidRPr="00134389" w:rsidRDefault="00134389" w:rsidP="00134389"/>
    <w:p w14:paraId="06BA4642" w14:textId="204E2AB1" w:rsidR="00134389" w:rsidRPr="00134389" w:rsidRDefault="00134389" w:rsidP="00134389"/>
    <w:p w14:paraId="3325FEB6" w14:textId="3A9A3A6B" w:rsidR="00134389" w:rsidRPr="00134389" w:rsidRDefault="00134389" w:rsidP="00134389"/>
    <w:p w14:paraId="53A95073" w14:textId="34672CBC" w:rsidR="00134389" w:rsidRPr="00134389" w:rsidRDefault="00134389" w:rsidP="00134389"/>
    <w:p w14:paraId="21803ECB" w14:textId="15D26168" w:rsidR="00134389" w:rsidRPr="00134389" w:rsidRDefault="00134389" w:rsidP="00134389"/>
    <w:p w14:paraId="4FF5C49E" w14:textId="7AD478CB" w:rsidR="00134389" w:rsidRPr="00134389" w:rsidRDefault="00134389" w:rsidP="00134389"/>
    <w:p w14:paraId="2284B732" w14:textId="20C23C93" w:rsidR="00134389" w:rsidRPr="00134389" w:rsidRDefault="00134389" w:rsidP="00134389"/>
    <w:p w14:paraId="5874ABD0" w14:textId="4AA9566E" w:rsidR="00134389" w:rsidRPr="00134389" w:rsidRDefault="00134389" w:rsidP="00134389"/>
    <w:p w14:paraId="0EF042AD" w14:textId="0A32F7C0" w:rsidR="00134389" w:rsidRPr="00134389" w:rsidRDefault="00134389" w:rsidP="00134389"/>
    <w:p w14:paraId="53CEF1FD" w14:textId="42A4086B" w:rsidR="00CC0818" w:rsidRDefault="00CC0818" w:rsidP="00A7667D"/>
    <w:p w14:paraId="78B7357F" w14:textId="1A1CB302" w:rsidR="00AA43D8" w:rsidRDefault="00AA43D8" w:rsidP="00A7667D"/>
    <w:p w14:paraId="67276B32" w14:textId="4D40E3CB" w:rsidR="00AA43D8" w:rsidRDefault="00AA43D8" w:rsidP="00A7667D"/>
    <w:p w14:paraId="79B051A7" w14:textId="47977988" w:rsidR="00F25D06" w:rsidRDefault="00F25D06" w:rsidP="00A7667D"/>
    <w:p w14:paraId="5D075274" w14:textId="1C83A9B4" w:rsidR="00134389" w:rsidRDefault="00134389" w:rsidP="00A7667D"/>
    <w:p w14:paraId="7CF31137" w14:textId="001EE5FD" w:rsidR="00134389" w:rsidRDefault="00134389" w:rsidP="000E1E18"/>
    <w:p w14:paraId="13E86C76" w14:textId="0C9C409B" w:rsidR="00134389" w:rsidRDefault="00134389" w:rsidP="000E1E18"/>
    <w:p w14:paraId="3C91B215" w14:textId="53B29F26" w:rsidR="00CB5DF7" w:rsidRDefault="00CB5DF7" w:rsidP="000E1E18"/>
    <w:p w14:paraId="3DCAC46E" w14:textId="1AAEB2C9" w:rsidR="00CB5DF7" w:rsidRDefault="00CB5DF7" w:rsidP="000E1E18"/>
    <w:p w14:paraId="26DE7665" w14:textId="76C4B78E" w:rsidR="00CB5DF7" w:rsidRDefault="00CB5DF7" w:rsidP="000E1E18"/>
    <w:p w14:paraId="3F70D0A4" w14:textId="68BE034F" w:rsidR="00CB5DF7" w:rsidRDefault="00F82FA2" w:rsidP="000E1E18">
      <w:r>
        <w:rPr>
          <w:noProof/>
        </w:rPr>
        <mc:AlternateContent>
          <mc:Choice Requires="wps">
            <w:drawing>
              <wp:anchor distT="0" distB="0" distL="114300" distR="114300" simplePos="0" relativeHeight="251662336" behindDoc="0" locked="0" layoutInCell="1" allowOverlap="1" wp14:anchorId="1D44C59E" wp14:editId="62ABC7C1">
                <wp:simplePos x="0" y="0"/>
                <wp:positionH relativeFrom="margin">
                  <wp:align>right</wp:align>
                </wp:positionH>
                <wp:positionV relativeFrom="paragraph">
                  <wp:posOffset>12700</wp:posOffset>
                </wp:positionV>
                <wp:extent cx="6290944" cy="34724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6290944" cy="347240"/>
                        </a:xfrm>
                        <a:prstGeom prst="rect">
                          <a:avLst/>
                        </a:prstGeom>
                        <a:solidFill>
                          <a:schemeClr val="accent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5DBE3B" w14:textId="27995007" w:rsidR="004E546E" w:rsidRPr="00A7667D" w:rsidRDefault="004E546E" w:rsidP="00964017">
                            <w:pPr>
                              <w:rPr>
                                <w:rFonts w:cs="Calibri"/>
                                <w:b/>
                                <w:color w:val="FFFFFF" w:themeColor="background1"/>
                                <w:sz w:val="32"/>
                              </w:rPr>
                            </w:pPr>
                            <w:r w:rsidRPr="00A7667D">
                              <w:rPr>
                                <w:rFonts w:cs="Calibri"/>
                                <w:b/>
                                <w:color w:val="FFFFFF" w:themeColor="background1"/>
                                <w:sz w:val="32"/>
                              </w:rPr>
                              <w:t xml:space="preserve">STEP 2 — Community </w:t>
                            </w:r>
                            <w:r w:rsidR="00BB29E1">
                              <w:rPr>
                                <w:rFonts w:cs="Calibri"/>
                                <w:b/>
                                <w:color w:val="FFFFFF" w:themeColor="background1"/>
                                <w:sz w:val="32"/>
                              </w:rPr>
                              <w:t>Conversation and Prioritization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44C59E" id="Text Box 14" o:spid="_x0000_s1028" type="#_x0000_t202" style="position:absolute;margin-left:444.15pt;margin-top:1pt;width:495.35pt;height:27.35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" fillcolor="#ffa840 [3206]" stroked="f" strokeweight=".5pt">
                <v:textbox>
                  <w:txbxContent>
                    <w:p w14:paraId="045DBE3B" w14:textId="27995007" w:rsidR="004E546E" w:rsidRPr="00A7667D" w:rsidRDefault="004E546E" w:rsidP="00964017">
                      <w:pPr>
                        <w:rPr>
                          <w:rFonts w:cs="Calibri"/>
                          <w:b/>
                          <w:color w:val="FFFFFF" w:themeColor="background1"/>
                          <w:sz w:val="32"/>
                        </w:rPr>
                      </w:pPr>
                      <w:r w:rsidRPr="00A7667D">
                        <w:rPr>
                          <w:rFonts w:cs="Calibri"/>
                          <w:b/>
                          <w:color w:val="FFFFFF" w:themeColor="background1"/>
                          <w:sz w:val="32"/>
                        </w:rPr>
                        <w:t xml:space="preserve">STEP 2 — Community </w:t>
                      </w:r>
                      <w:r w:rsidR="00BB29E1">
                        <w:rPr>
                          <w:rFonts w:cs="Calibri"/>
                          <w:b/>
                          <w:color w:val="FFFFFF" w:themeColor="background1"/>
                          <w:sz w:val="32"/>
                        </w:rPr>
                        <w:t>Conversation and Prioritization</w:t>
                      </w:r>
                    </w:p>
                  </w:txbxContent>
                </v:textbox>
                <w10:wrap anchorx="margin"/>
              </v:shape>
            </w:pict>
          </mc:Fallback>
        </mc:AlternateContent>
      </w:r>
    </w:p>
    <w:p w14:paraId="6600F626" w14:textId="057615F5" w:rsidR="00CB5DF7" w:rsidRDefault="00CB5DF7" w:rsidP="000E1E18"/>
    <w:p w14:paraId="4DEFF016" w14:textId="30DB2212" w:rsidR="00CB5DF7" w:rsidRDefault="00F82FA2" w:rsidP="000E1E18">
      <w:r>
        <w:rPr>
          <w:noProof/>
        </w:rPr>
        <mc:AlternateContent>
          <mc:Choice Requires="wps">
            <w:drawing>
              <wp:anchor distT="0" distB="0" distL="114300" distR="114300" simplePos="0" relativeHeight="251663360" behindDoc="0" locked="0" layoutInCell="1" allowOverlap="1" wp14:anchorId="68217A04" wp14:editId="6C6F236B">
                <wp:simplePos x="0" y="0"/>
                <wp:positionH relativeFrom="margin">
                  <wp:posOffset>18415</wp:posOffset>
                </wp:positionH>
                <wp:positionV relativeFrom="paragraph">
                  <wp:posOffset>14605</wp:posOffset>
                </wp:positionV>
                <wp:extent cx="6290945" cy="331851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290945" cy="3318510"/>
                        </a:xfrm>
                        <a:prstGeom prst="rect">
                          <a:avLst/>
                        </a:prstGeom>
                        <a:solidFill>
                          <a:schemeClr val="accent3">
                            <a:alpha val="3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42A4A2" w14:textId="101E4E4F" w:rsidR="00946E3D" w:rsidRPr="00664F13" w:rsidRDefault="00557F0E">
                            <w:pPr>
                              <w:rPr>
                                <w:b/>
                              </w:rPr>
                            </w:pPr>
                            <w:r w:rsidRPr="00664F13">
                              <w:rPr>
                                <w:b/>
                              </w:rPr>
                              <w:t>Refer to the document</w:t>
                            </w:r>
                            <w:r w:rsidR="00946E3D" w:rsidRPr="00664F13">
                              <w:rPr>
                                <w:b/>
                              </w:rPr>
                              <w:t xml:space="preserve"> Step 2 - Community </w:t>
                            </w:r>
                            <w:r w:rsidR="00AA43D8" w:rsidRPr="00664F13">
                              <w:rPr>
                                <w:b/>
                              </w:rPr>
                              <w:t>Conversation and Prioritization</w:t>
                            </w:r>
                            <w:r w:rsidR="00946E3D" w:rsidRPr="00664F13">
                              <w:rPr>
                                <w:b/>
                              </w:rPr>
                              <w:t xml:space="preserve"> </w:t>
                            </w:r>
                          </w:p>
                          <w:p w14:paraId="0FFA56DD" w14:textId="77777777" w:rsidR="00AA2906" w:rsidRDefault="00AA2906" w:rsidP="00AA2906"/>
                          <w:p w14:paraId="58109196" w14:textId="77777777" w:rsidR="00AA2906" w:rsidRPr="00AA2906" w:rsidRDefault="00AA2906" w:rsidP="00AA2906">
                            <w:pPr>
                              <w:rPr>
                                <w:iCs/>
                              </w:rPr>
                            </w:pPr>
                            <w:r>
                              <w:t xml:space="preserve">Step 2 is a time to </w:t>
                            </w:r>
                            <w:r w:rsidRPr="00550102">
                              <w:rPr>
                                <w:b/>
                              </w:rPr>
                              <w:t>reflect, prioritize, and begin planning for</w:t>
                            </w:r>
                            <w:r w:rsidRPr="00550102">
                              <w:t xml:space="preserve"> </w:t>
                            </w:r>
                            <w:r w:rsidRPr="00550102">
                              <w:rPr>
                                <w:b/>
                              </w:rPr>
                              <w:t>action</w:t>
                            </w:r>
                            <w:r w:rsidRPr="00550102">
                              <w:t xml:space="preserve"> in each community.</w:t>
                            </w:r>
                            <w:r w:rsidRPr="00A32B3D">
                              <w:t xml:space="preserve"> </w:t>
                            </w:r>
                            <w:r w:rsidRPr="00AA2906">
                              <w:rPr>
                                <w:iCs/>
                              </w:rPr>
                              <w:t xml:space="preserve">The Community Conversation and Prioritization will help gain clarity and consistency across organizations and present a unified and agreed-upon approach to PSE activities. </w:t>
                            </w:r>
                          </w:p>
                          <w:p w14:paraId="22B2955F" w14:textId="77777777" w:rsidR="00946E3D" w:rsidRPr="00A32B3D" w:rsidRDefault="00946E3D"/>
                          <w:p w14:paraId="0BC48B6F" w14:textId="1ED0A7B0" w:rsidR="00557F0E" w:rsidRPr="00A32B3D" w:rsidRDefault="00557F0E">
                            <w:r w:rsidRPr="00A32B3D">
                              <w:t>The</w:t>
                            </w:r>
                            <w:r w:rsidR="0075671D" w:rsidRPr="00A32B3D">
                              <w:t xml:space="preserve"> Community </w:t>
                            </w:r>
                            <w:r w:rsidR="0074108E" w:rsidRPr="00A32B3D">
                              <w:t xml:space="preserve">Conversation and Prioritization </w:t>
                            </w:r>
                            <w:r w:rsidR="00946E3D" w:rsidRPr="00A32B3D">
                              <w:t xml:space="preserve">contains </w:t>
                            </w:r>
                            <w:r w:rsidR="00931056">
                              <w:t>six</w:t>
                            </w:r>
                            <w:r w:rsidR="00931056" w:rsidRPr="00A32B3D">
                              <w:t xml:space="preserve"> </w:t>
                            </w:r>
                            <w:r w:rsidR="00946E3D" w:rsidRPr="00A32B3D">
                              <w:t>s</w:t>
                            </w:r>
                            <w:r w:rsidR="0075671D" w:rsidRPr="00A32B3D">
                              <w:t>ections</w:t>
                            </w:r>
                            <w:r w:rsidR="00946E3D" w:rsidRPr="00A32B3D">
                              <w:t>:</w:t>
                            </w:r>
                          </w:p>
                          <w:p w14:paraId="781D164C" w14:textId="0A8EB3A6" w:rsidR="00946E3D" w:rsidRPr="006E47C8" w:rsidRDefault="00931056" w:rsidP="00B81A8D">
                            <w:pPr>
                              <w:pStyle w:val="ListParagraph"/>
                              <w:numPr>
                                <w:ilvl w:val="0"/>
                                <w:numId w:val="7"/>
                              </w:numPr>
                              <w:ind w:left="720"/>
                              <w:rPr>
                                <w:i/>
                              </w:rPr>
                            </w:pPr>
                            <w:r w:rsidRPr="006E47C8">
                              <w:t xml:space="preserve">Summary of </w:t>
                            </w:r>
                            <w:r w:rsidR="006E47C8" w:rsidRPr="006E47C8">
                              <w:t>L</w:t>
                            </w:r>
                            <w:r w:rsidRPr="006E47C8">
                              <w:t>earnings</w:t>
                            </w:r>
                          </w:p>
                          <w:p w14:paraId="4B8669FF" w14:textId="18589BF1" w:rsidR="00931056" w:rsidRPr="006E47C8" w:rsidRDefault="006E47C8" w:rsidP="00B81A8D">
                            <w:pPr>
                              <w:pStyle w:val="ListParagraph"/>
                              <w:numPr>
                                <w:ilvl w:val="0"/>
                                <w:numId w:val="7"/>
                              </w:numPr>
                              <w:ind w:left="720"/>
                              <w:rPr>
                                <w:i/>
                              </w:rPr>
                            </w:pPr>
                            <w:r w:rsidRPr="006E47C8">
                              <w:t>Prioritize the Issue(s)</w:t>
                            </w:r>
                          </w:p>
                          <w:p w14:paraId="0EED61F7" w14:textId="7509FAA1" w:rsidR="00946E3D" w:rsidRPr="006E47C8" w:rsidRDefault="0074108E" w:rsidP="00B81A8D">
                            <w:pPr>
                              <w:pStyle w:val="ListParagraph"/>
                              <w:numPr>
                                <w:ilvl w:val="0"/>
                                <w:numId w:val="7"/>
                              </w:numPr>
                              <w:ind w:left="720"/>
                            </w:pPr>
                            <w:r w:rsidRPr="006E47C8">
                              <w:t xml:space="preserve">Identifying PSE </w:t>
                            </w:r>
                            <w:r w:rsidR="006E47C8" w:rsidRPr="006E47C8">
                              <w:t>S</w:t>
                            </w:r>
                            <w:r w:rsidR="00931056" w:rsidRPr="006E47C8">
                              <w:t>trategies</w:t>
                            </w:r>
                          </w:p>
                          <w:p w14:paraId="1AE0DFF6" w14:textId="02E4618E" w:rsidR="006E47C8" w:rsidRPr="006E47C8" w:rsidRDefault="006E47C8" w:rsidP="00B81A8D">
                            <w:pPr>
                              <w:pStyle w:val="ListParagraph"/>
                              <w:numPr>
                                <w:ilvl w:val="0"/>
                                <w:numId w:val="7"/>
                              </w:numPr>
                              <w:ind w:left="720"/>
                            </w:pPr>
                            <w:r w:rsidRPr="006E47C8">
                              <w:t>Prioritizing PSE Strategies</w:t>
                            </w:r>
                          </w:p>
                          <w:p w14:paraId="33BF3BA8" w14:textId="3FCAA42E" w:rsidR="003D7E10" w:rsidRPr="006E47C8" w:rsidRDefault="0074108E" w:rsidP="00B81A8D">
                            <w:pPr>
                              <w:pStyle w:val="ListParagraph"/>
                              <w:numPr>
                                <w:ilvl w:val="0"/>
                                <w:numId w:val="7"/>
                              </w:numPr>
                              <w:ind w:left="720"/>
                            </w:pPr>
                            <w:r w:rsidRPr="006E47C8">
                              <w:t xml:space="preserve">Stakeholder </w:t>
                            </w:r>
                            <w:r w:rsidR="006E47C8" w:rsidRPr="006E47C8">
                              <w:t>C</w:t>
                            </w:r>
                            <w:r w:rsidRPr="006E47C8">
                              <w:t xml:space="preserve">onversations </w:t>
                            </w:r>
                          </w:p>
                          <w:p w14:paraId="40812B9D" w14:textId="0BBF0F1F" w:rsidR="00931056" w:rsidRPr="006E47C8" w:rsidRDefault="006E47C8" w:rsidP="00B81A8D">
                            <w:pPr>
                              <w:pStyle w:val="ListParagraph"/>
                              <w:numPr>
                                <w:ilvl w:val="0"/>
                                <w:numId w:val="7"/>
                              </w:numPr>
                              <w:ind w:left="720"/>
                            </w:pPr>
                            <w:r w:rsidRPr="006E47C8">
                              <w:t>Continuing the Conversation</w:t>
                            </w:r>
                          </w:p>
                          <w:p w14:paraId="6889AEF5" w14:textId="77777777" w:rsidR="00DD4701" w:rsidRPr="00A32B3D" w:rsidRDefault="00DD4701"/>
                          <w:p w14:paraId="501A58C6" w14:textId="5B05E81A" w:rsidR="004E546E" w:rsidRPr="00A32B3D" w:rsidRDefault="00AA2906">
                            <w:r>
                              <w:t>Use the information from</w:t>
                            </w:r>
                            <w:r w:rsidR="008C423E" w:rsidRPr="00A32B3D">
                              <w:t xml:space="preserve"> </w:t>
                            </w:r>
                            <w:r w:rsidR="00C2349C">
                              <w:t>S</w:t>
                            </w:r>
                            <w:r w:rsidR="008C423E" w:rsidRPr="00A32B3D">
                              <w:t xml:space="preserve">tep 1 </w:t>
                            </w:r>
                            <w:r>
                              <w:t>when</w:t>
                            </w:r>
                            <w:r w:rsidR="008C423E" w:rsidRPr="00A32B3D">
                              <w:t xml:space="preserve"> completing </w:t>
                            </w:r>
                            <w:r w:rsidR="00C2349C">
                              <w:t>S</w:t>
                            </w:r>
                            <w:r w:rsidR="009B5358">
                              <w:t>tep 2 worksheets</w:t>
                            </w:r>
                            <w:r w:rsidR="008C423E" w:rsidRPr="00A32B3D">
                              <w:t xml:space="preserve">. </w:t>
                            </w:r>
                          </w:p>
                          <w:p w14:paraId="0D00C69B" w14:textId="3D5FF748" w:rsidR="004A321F" w:rsidRPr="00A32B3D" w:rsidRDefault="004A321F"/>
                        </w:txbxContent>
                      </wps:txbx>
                      <wps:bodyPr rot="0" spcFirstLastPara="0" vertOverflow="overflow" horzOverflow="overflow" vert="horz" wrap="square" lIns="182880" tIns="91440" rIns="182880" bIns="9144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8217A04" id="_x0000_t202" coordsize="21600,21600" o:spt="202" path="m,l,21600r21600,l21600,xe">
                <v:stroke joinstyle="miter"/>
                <v:path gradientshapeok="t" o:connecttype="rect"/>
              </v:shapetype>
              <v:shape id="Text Box 15" o:spid="_x0000_s1029" type="#_x0000_t202" style="position:absolute;margin-left:1.45pt;margin-top:1.15pt;width:495.35pt;height:261.3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" fillcolor="#ffa840 [3206]" stroked="f" strokeweight=".5pt">
                <v:fill opacity="19789f"/>
                <v:textbox inset="14.4pt,7.2pt,14.4pt,7.2pt">
                  <w:txbxContent>
                    <w:p w14:paraId="0742A4A2" w14:textId="101E4E4F" w:rsidR="00946E3D" w:rsidRPr="00664F13" w:rsidRDefault="00557F0E">
                      <w:pPr>
                        <w:rPr>
                          <w:b/>
                        </w:rPr>
                      </w:pPr>
                      <w:r w:rsidRPr="00664F13">
                        <w:rPr>
                          <w:b/>
                        </w:rPr>
                        <w:t>Refer to the document</w:t>
                      </w:r>
                      <w:r w:rsidR="00946E3D" w:rsidRPr="00664F13">
                        <w:rPr>
                          <w:b/>
                        </w:rPr>
                        <w:t xml:space="preserve"> Step 2 - Community </w:t>
                      </w:r>
                      <w:r w:rsidR="00AA43D8" w:rsidRPr="00664F13">
                        <w:rPr>
                          <w:b/>
                        </w:rPr>
                        <w:t>Conversation and Prioritization</w:t>
                      </w:r>
                      <w:r w:rsidR="00946E3D" w:rsidRPr="00664F13">
                        <w:rPr>
                          <w:b/>
                        </w:rPr>
                        <w:t xml:space="preserve"> </w:t>
                      </w:r>
                    </w:p>
                    <w:p w14:paraId="0FFA56DD" w14:textId="77777777" w:rsidR="00AA2906" w:rsidRDefault="00AA2906" w:rsidP="00AA2906"/>
                    <w:p w14:paraId="58109196" w14:textId="77777777" w:rsidR="00AA2906" w:rsidRPr="00AA2906" w:rsidRDefault="00AA2906" w:rsidP="00AA2906">
                      <w:pPr>
                        <w:rPr>
                          <w:iCs/>
                        </w:rPr>
                      </w:pPr>
                      <w:r>
                        <w:t xml:space="preserve">Step 2 is a time to </w:t>
                      </w:r>
                      <w:r w:rsidRPr="00550102">
                        <w:rPr>
                          <w:b/>
                        </w:rPr>
                        <w:t>reflect, prioritize, and begin planning for</w:t>
                      </w:r>
                      <w:r w:rsidRPr="00550102">
                        <w:t xml:space="preserve"> </w:t>
                      </w:r>
                      <w:r w:rsidRPr="00550102">
                        <w:rPr>
                          <w:b/>
                        </w:rPr>
                        <w:t>action</w:t>
                      </w:r>
                      <w:r w:rsidRPr="00550102">
                        <w:t xml:space="preserve"> in each community.</w:t>
                      </w:r>
                      <w:r w:rsidRPr="00A32B3D">
                        <w:t xml:space="preserve"> </w:t>
                      </w:r>
                      <w:r w:rsidRPr="00AA2906">
                        <w:rPr>
                          <w:iCs/>
                        </w:rPr>
                        <w:t xml:space="preserve">The Community Conversation and Prioritization will help gain clarity and consistency across organizations and present a unified and agreed-upon approach to PSE activities. </w:t>
                      </w:r>
                    </w:p>
                    <w:p w14:paraId="22B2955F" w14:textId="77777777" w:rsidR="00946E3D" w:rsidRPr="00A32B3D" w:rsidRDefault="00946E3D"/>
                    <w:p w14:paraId="0BC48B6F" w14:textId="1ED0A7B0" w:rsidR="00557F0E" w:rsidRPr="00A32B3D" w:rsidRDefault="00557F0E">
                      <w:r w:rsidRPr="00A32B3D">
                        <w:t>The</w:t>
                      </w:r>
                      <w:r w:rsidR="0075671D" w:rsidRPr="00A32B3D">
                        <w:t xml:space="preserve"> Community </w:t>
                      </w:r>
                      <w:r w:rsidR="0074108E" w:rsidRPr="00A32B3D">
                        <w:t xml:space="preserve">Conversation and Prioritization </w:t>
                      </w:r>
                      <w:r w:rsidR="00946E3D" w:rsidRPr="00A32B3D">
                        <w:t xml:space="preserve">contains </w:t>
                      </w:r>
                      <w:r w:rsidR="00931056">
                        <w:t>six</w:t>
                      </w:r>
                      <w:r w:rsidR="00931056" w:rsidRPr="00A32B3D">
                        <w:t xml:space="preserve"> </w:t>
                      </w:r>
                      <w:r w:rsidR="00946E3D" w:rsidRPr="00A32B3D">
                        <w:t>s</w:t>
                      </w:r>
                      <w:r w:rsidR="0075671D" w:rsidRPr="00A32B3D">
                        <w:t>ections</w:t>
                      </w:r>
                      <w:r w:rsidR="00946E3D" w:rsidRPr="00A32B3D">
                        <w:t>:</w:t>
                      </w:r>
                    </w:p>
                    <w:p w14:paraId="781D164C" w14:textId="0A8EB3A6" w:rsidR="00946E3D" w:rsidRPr="006E47C8" w:rsidRDefault="00931056" w:rsidP="00B81A8D">
                      <w:pPr>
                        <w:pStyle w:val="ListParagraph"/>
                        <w:numPr>
                          <w:ilvl w:val="0"/>
                          <w:numId w:val="7"/>
                        </w:numPr>
                        <w:ind w:left="720"/>
                        <w:rPr>
                          <w:i/>
                        </w:rPr>
                      </w:pPr>
                      <w:r w:rsidRPr="006E47C8">
                        <w:t xml:space="preserve">Summary of </w:t>
                      </w:r>
                      <w:r w:rsidR="006E47C8" w:rsidRPr="006E47C8">
                        <w:t>L</w:t>
                      </w:r>
                      <w:r w:rsidRPr="006E47C8">
                        <w:t>earnings</w:t>
                      </w:r>
                    </w:p>
                    <w:p w14:paraId="4B8669FF" w14:textId="18589BF1" w:rsidR="00931056" w:rsidRPr="006E47C8" w:rsidRDefault="006E47C8" w:rsidP="00B81A8D">
                      <w:pPr>
                        <w:pStyle w:val="ListParagraph"/>
                        <w:numPr>
                          <w:ilvl w:val="0"/>
                          <w:numId w:val="7"/>
                        </w:numPr>
                        <w:ind w:left="720"/>
                        <w:rPr>
                          <w:i/>
                        </w:rPr>
                      </w:pPr>
                      <w:r w:rsidRPr="006E47C8">
                        <w:t>Prioritize the Issue(s)</w:t>
                      </w:r>
                    </w:p>
                    <w:p w14:paraId="0EED61F7" w14:textId="7509FAA1" w:rsidR="00946E3D" w:rsidRPr="006E47C8" w:rsidRDefault="0074108E" w:rsidP="00B81A8D">
                      <w:pPr>
                        <w:pStyle w:val="ListParagraph"/>
                        <w:numPr>
                          <w:ilvl w:val="0"/>
                          <w:numId w:val="7"/>
                        </w:numPr>
                        <w:ind w:left="720"/>
                      </w:pPr>
                      <w:r w:rsidRPr="006E47C8">
                        <w:t xml:space="preserve">Identifying PSE </w:t>
                      </w:r>
                      <w:r w:rsidR="006E47C8" w:rsidRPr="006E47C8">
                        <w:t>S</w:t>
                      </w:r>
                      <w:r w:rsidR="00931056" w:rsidRPr="006E47C8">
                        <w:t>trategies</w:t>
                      </w:r>
                    </w:p>
                    <w:p w14:paraId="1AE0DFF6" w14:textId="02E4618E" w:rsidR="006E47C8" w:rsidRPr="006E47C8" w:rsidRDefault="006E47C8" w:rsidP="00B81A8D">
                      <w:pPr>
                        <w:pStyle w:val="ListParagraph"/>
                        <w:numPr>
                          <w:ilvl w:val="0"/>
                          <w:numId w:val="7"/>
                        </w:numPr>
                        <w:ind w:left="720"/>
                      </w:pPr>
                      <w:r w:rsidRPr="006E47C8">
                        <w:t>Prioritizing PSE Strategies</w:t>
                      </w:r>
                    </w:p>
                    <w:p w14:paraId="33BF3BA8" w14:textId="3FCAA42E" w:rsidR="003D7E10" w:rsidRPr="006E47C8" w:rsidRDefault="0074108E" w:rsidP="00B81A8D">
                      <w:pPr>
                        <w:pStyle w:val="ListParagraph"/>
                        <w:numPr>
                          <w:ilvl w:val="0"/>
                          <w:numId w:val="7"/>
                        </w:numPr>
                        <w:ind w:left="720"/>
                      </w:pPr>
                      <w:r w:rsidRPr="006E47C8">
                        <w:t xml:space="preserve">Stakeholder </w:t>
                      </w:r>
                      <w:r w:rsidR="006E47C8" w:rsidRPr="006E47C8">
                        <w:t>C</w:t>
                      </w:r>
                      <w:r w:rsidRPr="006E47C8">
                        <w:t xml:space="preserve">onversations </w:t>
                      </w:r>
                    </w:p>
                    <w:p w14:paraId="40812B9D" w14:textId="0BBF0F1F" w:rsidR="00931056" w:rsidRPr="006E47C8" w:rsidRDefault="006E47C8" w:rsidP="00B81A8D">
                      <w:pPr>
                        <w:pStyle w:val="ListParagraph"/>
                        <w:numPr>
                          <w:ilvl w:val="0"/>
                          <w:numId w:val="7"/>
                        </w:numPr>
                        <w:ind w:left="720"/>
                      </w:pPr>
                      <w:r w:rsidRPr="006E47C8">
                        <w:t>Continuing the Conversation</w:t>
                      </w:r>
                    </w:p>
                    <w:p w14:paraId="6889AEF5" w14:textId="77777777" w:rsidR="00DD4701" w:rsidRPr="00A32B3D" w:rsidRDefault="00DD4701"/>
                    <w:p w14:paraId="501A58C6" w14:textId="5B05E81A" w:rsidR="004E546E" w:rsidRPr="00A32B3D" w:rsidRDefault="00AA2906">
                      <w:r>
                        <w:t>Use the information from</w:t>
                      </w:r>
                      <w:r w:rsidR="008C423E" w:rsidRPr="00A32B3D">
                        <w:t xml:space="preserve"> </w:t>
                      </w:r>
                      <w:r w:rsidR="00C2349C">
                        <w:t>S</w:t>
                      </w:r>
                      <w:r w:rsidR="008C423E" w:rsidRPr="00A32B3D">
                        <w:t xml:space="preserve">tep 1 </w:t>
                      </w:r>
                      <w:r>
                        <w:t>when</w:t>
                      </w:r>
                      <w:r w:rsidR="008C423E" w:rsidRPr="00A32B3D">
                        <w:t xml:space="preserve"> completing </w:t>
                      </w:r>
                      <w:r w:rsidR="00C2349C">
                        <w:t>S</w:t>
                      </w:r>
                      <w:r w:rsidR="009B5358">
                        <w:t>tep 2 worksheets</w:t>
                      </w:r>
                      <w:r w:rsidR="008C423E" w:rsidRPr="00A32B3D">
                        <w:t xml:space="preserve">. </w:t>
                      </w:r>
                    </w:p>
                    <w:p w14:paraId="0D00C69B" w14:textId="3D5FF748" w:rsidR="004A321F" w:rsidRPr="00A32B3D" w:rsidRDefault="004A321F"/>
                  </w:txbxContent>
                </v:textbox>
                <w10:wrap anchorx="margin"/>
              </v:shape>
            </w:pict>
          </mc:Fallback>
        </mc:AlternateContent>
      </w:r>
    </w:p>
    <w:p w14:paraId="08DA657F" w14:textId="77777777" w:rsidR="00CB5DF7" w:rsidRDefault="00CB5DF7" w:rsidP="000E1E18"/>
    <w:p w14:paraId="3D746306" w14:textId="08C0CE26" w:rsidR="00CB5DF7" w:rsidRDefault="00CB5DF7" w:rsidP="000E1E18"/>
    <w:p w14:paraId="3507A543" w14:textId="77777777" w:rsidR="00CB5DF7" w:rsidRDefault="00CB5DF7" w:rsidP="000E1E18"/>
    <w:p w14:paraId="015BCB25" w14:textId="1EFED26B" w:rsidR="00CB5DF7" w:rsidRDefault="00CB5DF7" w:rsidP="000E1E18"/>
    <w:p w14:paraId="398CE8B7" w14:textId="77777777" w:rsidR="00CB5DF7" w:rsidRDefault="00CB5DF7" w:rsidP="000E1E18"/>
    <w:p w14:paraId="6DC876A4" w14:textId="77777777" w:rsidR="00CB5DF7" w:rsidRDefault="00CB5DF7" w:rsidP="000E1E18"/>
    <w:p w14:paraId="3E7C65CB" w14:textId="77777777" w:rsidR="00CB5DF7" w:rsidRDefault="00CB5DF7" w:rsidP="000E1E18"/>
    <w:p w14:paraId="4559EC18" w14:textId="77777777" w:rsidR="00CB5DF7" w:rsidRDefault="00CB5DF7" w:rsidP="000E1E18"/>
    <w:p w14:paraId="25C33C46" w14:textId="77777777" w:rsidR="00CB5DF7" w:rsidRDefault="00CB5DF7" w:rsidP="000E1E18"/>
    <w:p w14:paraId="4DEBFDF4" w14:textId="77777777" w:rsidR="00CB5DF7" w:rsidRDefault="00CB5DF7" w:rsidP="000E1E18"/>
    <w:p w14:paraId="7EC7317F" w14:textId="77777777" w:rsidR="00CB5DF7" w:rsidRDefault="00CB5DF7" w:rsidP="000E1E18"/>
    <w:p w14:paraId="3AC2CF0C" w14:textId="505D0EE1" w:rsidR="00CB5DF7" w:rsidRDefault="00CB5DF7" w:rsidP="000E1E18"/>
    <w:p w14:paraId="1D10A063" w14:textId="5CBA59D6" w:rsidR="0074108E" w:rsidRDefault="0074108E" w:rsidP="000E1E18"/>
    <w:p w14:paraId="741554F5" w14:textId="279A44A1" w:rsidR="00F25D06" w:rsidRDefault="00F25D06" w:rsidP="000E1E18"/>
    <w:p w14:paraId="6447AF86" w14:textId="62F91B4C" w:rsidR="00F25D06" w:rsidRDefault="00F25D06" w:rsidP="000E1E18"/>
    <w:p w14:paraId="099922DB" w14:textId="192682FB" w:rsidR="00F25D06" w:rsidRDefault="00F25D06" w:rsidP="000E1E18"/>
    <w:p w14:paraId="757B83D7" w14:textId="06B66A5D" w:rsidR="00F25D06" w:rsidRDefault="00F25D06" w:rsidP="000E1E18"/>
    <w:p w14:paraId="1F1B138B" w14:textId="004708B8" w:rsidR="00F25D06" w:rsidRDefault="00F25D06" w:rsidP="000E1E18"/>
    <w:p w14:paraId="40263A4F" w14:textId="77777777" w:rsidR="00840481" w:rsidRDefault="00840481" w:rsidP="000E1E18"/>
    <w:p w14:paraId="302821F4" w14:textId="663D7425" w:rsidR="0074108E" w:rsidRDefault="0074108E" w:rsidP="000E1E18"/>
    <w:p w14:paraId="5E8DC737" w14:textId="10EBDE84" w:rsidR="00CB5DF7" w:rsidRDefault="00CB5DF7" w:rsidP="000E1E18"/>
    <w:p w14:paraId="00206A3E" w14:textId="4CAA7B26" w:rsidR="00CB5DF7" w:rsidRDefault="00375F45" w:rsidP="000E1E18">
      <w:r>
        <w:rPr>
          <w:noProof/>
        </w:rPr>
        <w:lastRenderedPageBreak/>
        <mc:AlternateContent>
          <mc:Choice Requires="wps">
            <w:drawing>
              <wp:anchor distT="0" distB="0" distL="114300" distR="114300" simplePos="0" relativeHeight="251670528" behindDoc="0" locked="0" layoutInCell="1" allowOverlap="1" wp14:anchorId="7E66ED33" wp14:editId="3DF8681E">
                <wp:simplePos x="0" y="0"/>
                <wp:positionH relativeFrom="margin">
                  <wp:align>left</wp:align>
                </wp:positionH>
                <wp:positionV relativeFrom="paragraph">
                  <wp:posOffset>241300</wp:posOffset>
                </wp:positionV>
                <wp:extent cx="6287770" cy="1847850"/>
                <wp:effectExtent l="0" t="0" r="0" b="0"/>
                <wp:wrapTopAndBottom/>
                <wp:docPr id="18" name="Text Box 18"/>
                <wp:cNvGraphicFramePr/>
                <a:graphic xmlns:a="http://schemas.openxmlformats.org/drawingml/2006/main">
                  <a:graphicData uri="http://schemas.microsoft.com/office/word/2010/wordprocessingShape">
                    <wps:wsp>
                      <wps:cNvSpPr txBox="1"/>
                      <wps:spPr>
                        <a:xfrm>
                          <a:off x="0" y="0"/>
                          <a:ext cx="6287770" cy="1847850"/>
                        </a:xfrm>
                        <a:prstGeom prst="rect">
                          <a:avLst/>
                        </a:prstGeom>
                        <a:solidFill>
                          <a:schemeClr val="accent4">
                            <a:alpha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CC0D2" w14:textId="7A6E10E8" w:rsidR="00A7667D" w:rsidRPr="006371DC" w:rsidRDefault="00C83A00" w:rsidP="00A7667D">
                            <w:pPr>
                              <w:rPr>
                                <w:b/>
                              </w:rPr>
                            </w:pPr>
                            <w:r w:rsidRPr="009B5358">
                              <w:rPr>
                                <w:b/>
                              </w:rPr>
                              <w:t>Refer to the document Step 3 -</w:t>
                            </w:r>
                            <w:r w:rsidR="00A7667D" w:rsidRPr="009B5358">
                              <w:rPr>
                                <w:b/>
                              </w:rPr>
                              <w:t xml:space="preserve"> Action Plan</w:t>
                            </w:r>
                            <w:r w:rsidR="00C2349C">
                              <w:rPr>
                                <w:b/>
                              </w:rPr>
                              <w:t>ning</w:t>
                            </w:r>
                            <w:r w:rsidR="00A7667D" w:rsidRPr="009B5358">
                              <w:rPr>
                                <w:b/>
                              </w:rPr>
                              <w:t xml:space="preserve"> </w:t>
                            </w:r>
                          </w:p>
                          <w:p w14:paraId="6FA8D43D" w14:textId="77777777" w:rsidR="00A7667D" w:rsidRPr="00A32B3D" w:rsidRDefault="00A7667D" w:rsidP="00A7667D">
                            <w:pPr>
                              <w:rPr>
                                <w:b/>
                              </w:rPr>
                            </w:pPr>
                          </w:p>
                          <w:p w14:paraId="51023288" w14:textId="2B034B2C" w:rsidR="00A7667D" w:rsidRPr="00375F45" w:rsidRDefault="00B81A8D" w:rsidP="004112FD">
                            <w:r>
                              <w:t>Action Planning is the</w:t>
                            </w:r>
                            <w:r w:rsidRPr="00A32B3D">
                              <w:t xml:space="preserve"> culmination of </w:t>
                            </w:r>
                            <w:r>
                              <w:t xml:space="preserve">the </w:t>
                            </w:r>
                            <w:r w:rsidR="009F1FA1">
                              <w:t>P</w:t>
                            </w:r>
                            <w:r>
                              <w:t>rocess</w:t>
                            </w:r>
                            <w:r w:rsidRPr="00A32B3D">
                              <w:t xml:space="preserve">. </w:t>
                            </w:r>
                            <w:r>
                              <w:t>It operationalizes the</w:t>
                            </w:r>
                            <w:r w:rsidR="00A7667D" w:rsidRPr="00A32B3D">
                              <w:t xml:space="preserve"> step</w:t>
                            </w:r>
                            <w:r>
                              <w:t>s you will take to integrate</w:t>
                            </w:r>
                            <w:r w:rsidR="00A7667D" w:rsidRPr="00A32B3D">
                              <w:t xml:space="preserve"> </w:t>
                            </w:r>
                            <w:r w:rsidR="00CC0818" w:rsidRPr="00A32B3D">
                              <w:t>PSE</w:t>
                            </w:r>
                            <w:r w:rsidR="00A7667D" w:rsidRPr="00A32B3D">
                              <w:t xml:space="preserve"> </w:t>
                            </w:r>
                            <w:r w:rsidR="008E336C">
                              <w:t xml:space="preserve">strategies </w:t>
                            </w:r>
                            <w:r w:rsidR="00A7667D" w:rsidRPr="00A32B3D">
                              <w:t xml:space="preserve">into your work. </w:t>
                            </w:r>
                            <w:r w:rsidR="009F1FA1">
                              <w:t>Using t</w:t>
                            </w:r>
                            <w:r w:rsidR="00A7667D" w:rsidRPr="00A32B3D">
                              <w:t xml:space="preserve">he Action Plan </w:t>
                            </w:r>
                            <w:r w:rsidR="004112FD">
                              <w:t>template</w:t>
                            </w:r>
                            <w:r w:rsidR="009F1FA1">
                              <w:t>,</w:t>
                            </w:r>
                            <w:r w:rsidR="004112FD">
                              <w:t xml:space="preserve"> </w:t>
                            </w:r>
                            <w:r w:rsidR="00375F45">
                              <w:t>you and your team</w:t>
                            </w:r>
                            <w:r w:rsidR="009F1FA1">
                              <w:t xml:space="preserve"> will</w:t>
                            </w:r>
                            <w:r w:rsidR="00C66FE0">
                              <w:t xml:space="preserve"> </w:t>
                            </w:r>
                            <w:r w:rsidR="00375F45">
                              <w:t>set</w:t>
                            </w:r>
                            <w:r w:rsidR="00C66FE0">
                              <w:t xml:space="preserve"> specific goals</w:t>
                            </w:r>
                            <w:r w:rsidR="00375F45">
                              <w:t xml:space="preserve">, define </w:t>
                            </w:r>
                            <w:r w:rsidR="00A16D73">
                              <w:t>time</w:t>
                            </w:r>
                            <w:r w:rsidR="00375F45">
                              <w:t>frame</w:t>
                            </w:r>
                            <w:r w:rsidR="009F1FA1">
                              <w:t>s</w:t>
                            </w:r>
                            <w:r w:rsidR="00375F45">
                              <w:t>, and identify resources.</w:t>
                            </w:r>
                          </w:p>
                          <w:p w14:paraId="4DB5C5B1" w14:textId="77777777" w:rsidR="004112FD" w:rsidRPr="00664F13" w:rsidRDefault="004112FD" w:rsidP="00A32B3D">
                            <w:pPr>
                              <w:rPr>
                                <w:sz w:val="20"/>
                                <w:szCs w:val="20"/>
                              </w:rPr>
                            </w:pPr>
                          </w:p>
                          <w:p w14:paraId="29C795F3" w14:textId="2138B087" w:rsidR="00527557" w:rsidRPr="008C423E" w:rsidRDefault="00CC0818">
                            <w:pPr>
                              <w:rPr>
                                <w:sz w:val="20"/>
                                <w:szCs w:val="21"/>
                              </w:rPr>
                            </w:pPr>
                            <w:r w:rsidRPr="00A32B3D">
                              <w:t>Future</w:t>
                            </w:r>
                            <w:r w:rsidR="00A7667D" w:rsidRPr="00A32B3D">
                              <w:t xml:space="preserve"> program decisions </w:t>
                            </w:r>
                            <w:r w:rsidR="00A16D73">
                              <w:t>should be guided by this plan with room for opportunistic adjustments</w:t>
                            </w:r>
                            <w:r w:rsidR="00A7667D" w:rsidRPr="00A32B3D">
                              <w:t>. Communities change, priorities shift, and you</w:t>
                            </w:r>
                            <w:r w:rsidR="00375F45">
                              <w:t xml:space="preserve"> and your team</w:t>
                            </w:r>
                            <w:r w:rsidR="00A7667D" w:rsidRPr="00A32B3D">
                              <w:t xml:space="preserve"> will want to ad</w:t>
                            </w:r>
                            <w:r w:rsidRPr="00A32B3D">
                              <w:t>apt your strategies according to evolving and emergent</w:t>
                            </w:r>
                            <w:r w:rsidR="00A7667D" w:rsidRPr="00A32B3D">
                              <w:t xml:space="preserve"> needs.</w:t>
                            </w:r>
                          </w:p>
                        </w:txbxContent>
                      </wps:txbx>
                      <wps:bodyPr rot="0" spcFirstLastPara="0" vertOverflow="overflow" horzOverflow="overflow" vert="horz" wrap="square" lIns="182880" tIns="91440" rIns="18288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6ED33" id="Text Box 18" o:spid="_x0000_s1030" type="#_x0000_t202" style="position:absolute;margin-left:0;margin-top:19pt;width:495.1pt;height:145.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" fillcolor="#acd049 [3207]" stroked="f" strokeweight=".5pt">
                <v:fill opacity="26214f"/>
                <v:textbox inset="14.4pt,7.2pt,14.4pt,7.2pt">
                  <w:txbxContent>
                    <w:p w14:paraId="73BCC0D2" w14:textId="7A6E10E8" w:rsidR="00A7667D" w:rsidRPr="006371DC" w:rsidRDefault="00C83A00" w:rsidP="00A7667D">
                      <w:pPr>
                        <w:rPr>
                          <w:b/>
                        </w:rPr>
                      </w:pPr>
                      <w:r w:rsidRPr="009B5358">
                        <w:rPr>
                          <w:b/>
                        </w:rPr>
                        <w:t>Refer to the document Step 3 -</w:t>
                      </w:r>
                      <w:r w:rsidR="00A7667D" w:rsidRPr="009B5358">
                        <w:rPr>
                          <w:b/>
                        </w:rPr>
                        <w:t xml:space="preserve"> Action Plan</w:t>
                      </w:r>
                      <w:r w:rsidR="00C2349C">
                        <w:rPr>
                          <w:b/>
                        </w:rPr>
                        <w:t>ning</w:t>
                      </w:r>
                      <w:r w:rsidR="00A7667D" w:rsidRPr="009B5358">
                        <w:rPr>
                          <w:b/>
                        </w:rPr>
                        <w:t xml:space="preserve"> </w:t>
                      </w:r>
                    </w:p>
                    <w:p w14:paraId="6FA8D43D" w14:textId="77777777" w:rsidR="00A7667D" w:rsidRPr="00A32B3D" w:rsidRDefault="00A7667D" w:rsidP="00A7667D">
                      <w:pPr>
                        <w:rPr>
                          <w:b/>
                        </w:rPr>
                      </w:pPr>
                    </w:p>
                    <w:p w14:paraId="51023288" w14:textId="2B034B2C" w:rsidR="00A7667D" w:rsidRPr="00375F45" w:rsidRDefault="00B81A8D" w:rsidP="004112FD">
                      <w:r>
                        <w:t>Action Planning is the</w:t>
                      </w:r>
                      <w:r w:rsidRPr="00A32B3D">
                        <w:t xml:space="preserve"> culmination of </w:t>
                      </w:r>
                      <w:r>
                        <w:t xml:space="preserve">the </w:t>
                      </w:r>
                      <w:r w:rsidR="009F1FA1">
                        <w:t>P</w:t>
                      </w:r>
                      <w:r>
                        <w:t>rocess</w:t>
                      </w:r>
                      <w:r w:rsidRPr="00A32B3D">
                        <w:t xml:space="preserve">. </w:t>
                      </w:r>
                      <w:r>
                        <w:t>It operationalizes the</w:t>
                      </w:r>
                      <w:r w:rsidR="00A7667D" w:rsidRPr="00A32B3D">
                        <w:t xml:space="preserve"> step</w:t>
                      </w:r>
                      <w:r>
                        <w:t>s you will take to integrate</w:t>
                      </w:r>
                      <w:r w:rsidR="00A7667D" w:rsidRPr="00A32B3D">
                        <w:t xml:space="preserve"> </w:t>
                      </w:r>
                      <w:r w:rsidR="00CC0818" w:rsidRPr="00A32B3D">
                        <w:t>PSE</w:t>
                      </w:r>
                      <w:r w:rsidR="00A7667D" w:rsidRPr="00A32B3D">
                        <w:t xml:space="preserve"> </w:t>
                      </w:r>
                      <w:r w:rsidR="008E336C">
                        <w:t xml:space="preserve">strategies </w:t>
                      </w:r>
                      <w:r w:rsidR="00A7667D" w:rsidRPr="00A32B3D">
                        <w:t xml:space="preserve">into your work. </w:t>
                      </w:r>
                      <w:r w:rsidR="009F1FA1">
                        <w:t>Using t</w:t>
                      </w:r>
                      <w:r w:rsidR="00A7667D" w:rsidRPr="00A32B3D">
                        <w:t xml:space="preserve">he Action Plan </w:t>
                      </w:r>
                      <w:r w:rsidR="004112FD">
                        <w:t>template</w:t>
                      </w:r>
                      <w:r w:rsidR="009F1FA1">
                        <w:t>,</w:t>
                      </w:r>
                      <w:r w:rsidR="004112FD">
                        <w:t xml:space="preserve"> </w:t>
                      </w:r>
                      <w:r w:rsidR="00375F45">
                        <w:t>you and your team</w:t>
                      </w:r>
                      <w:r w:rsidR="009F1FA1">
                        <w:t xml:space="preserve"> will</w:t>
                      </w:r>
                      <w:r w:rsidR="00C66FE0">
                        <w:t xml:space="preserve"> </w:t>
                      </w:r>
                      <w:r w:rsidR="00375F45">
                        <w:t>set</w:t>
                      </w:r>
                      <w:r w:rsidR="00C66FE0">
                        <w:t xml:space="preserve"> specific goals</w:t>
                      </w:r>
                      <w:r w:rsidR="00375F45">
                        <w:t xml:space="preserve">, define </w:t>
                      </w:r>
                      <w:r w:rsidR="00A16D73">
                        <w:t>time</w:t>
                      </w:r>
                      <w:r w:rsidR="00375F45">
                        <w:t>frame</w:t>
                      </w:r>
                      <w:r w:rsidR="009F1FA1">
                        <w:t>s</w:t>
                      </w:r>
                      <w:r w:rsidR="00375F45">
                        <w:t>, and identify resources.</w:t>
                      </w:r>
                    </w:p>
                    <w:p w14:paraId="4DB5C5B1" w14:textId="77777777" w:rsidR="004112FD" w:rsidRPr="00664F13" w:rsidRDefault="004112FD" w:rsidP="00A32B3D">
                      <w:pPr>
                        <w:rPr>
                          <w:sz w:val="20"/>
                          <w:szCs w:val="20"/>
                        </w:rPr>
                      </w:pPr>
                    </w:p>
                    <w:p w14:paraId="29C795F3" w14:textId="2138B087" w:rsidR="00527557" w:rsidRPr="008C423E" w:rsidRDefault="00CC0818">
                      <w:pPr>
                        <w:rPr>
                          <w:sz w:val="20"/>
                          <w:szCs w:val="21"/>
                        </w:rPr>
                      </w:pPr>
                      <w:r w:rsidRPr="00A32B3D">
                        <w:t>Future</w:t>
                      </w:r>
                      <w:r w:rsidR="00A7667D" w:rsidRPr="00A32B3D">
                        <w:t xml:space="preserve"> program decisions </w:t>
                      </w:r>
                      <w:r w:rsidR="00A16D73">
                        <w:t>should be guided by this plan with room for opportunistic adjustments</w:t>
                      </w:r>
                      <w:r w:rsidR="00A7667D" w:rsidRPr="00A32B3D">
                        <w:t>. Communities change, priorities shift, and you</w:t>
                      </w:r>
                      <w:r w:rsidR="00375F45">
                        <w:t xml:space="preserve"> and your team</w:t>
                      </w:r>
                      <w:r w:rsidR="00A7667D" w:rsidRPr="00A32B3D">
                        <w:t xml:space="preserve"> will want to ad</w:t>
                      </w:r>
                      <w:r w:rsidRPr="00A32B3D">
                        <w:t>apt your strategies according to evolving and emergent</w:t>
                      </w:r>
                      <w:r w:rsidR="00A7667D" w:rsidRPr="00A32B3D">
                        <w:t xml:space="preserve"> needs.</w:t>
                      </w:r>
                    </w:p>
                  </w:txbxContent>
                </v:textbox>
                <w10:wrap type="topAndBottom" anchorx="margin"/>
              </v:shape>
            </w:pict>
          </mc:Fallback>
        </mc:AlternateContent>
      </w:r>
      <w:r w:rsidR="00F82FA2">
        <w:rPr>
          <w:noProof/>
        </w:rPr>
        <mc:AlternateContent>
          <mc:Choice Requires="wps">
            <w:drawing>
              <wp:anchor distT="0" distB="0" distL="114300" distR="114300" simplePos="0" relativeHeight="251669504" behindDoc="0" locked="0" layoutInCell="1" allowOverlap="1" wp14:anchorId="6BFCA3BC" wp14:editId="1189F3B5">
                <wp:simplePos x="0" y="0"/>
                <wp:positionH relativeFrom="margin">
                  <wp:align>right</wp:align>
                </wp:positionH>
                <wp:positionV relativeFrom="paragraph">
                  <wp:posOffset>-113030</wp:posOffset>
                </wp:positionV>
                <wp:extent cx="6287770" cy="342265"/>
                <wp:effectExtent l="0" t="0" r="0" b="635"/>
                <wp:wrapNone/>
                <wp:docPr id="17" name="Text Box 17"/>
                <wp:cNvGraphicFramePr/>
                <a:graphic xmlns:a="http://schemas.openxmlformats.org/drawingml/2006/main">
                  <a:graphicData uri="http://schemas.microsoft.com/office/word/2010/wordprocessingShape">
                    <wps:wsp>
                      <wps:cNvSpPr txBox="1"/>
                      <wps:spPr>
                        <a:xfrm>
                          <a:off x="0" y="0"/>
                          <a:ext cx="6287770" cy="342265"/>
                        </a:xfrm>
                        <a:prstGeom prst="rect">
                          <a:avLst/>
                        </a:prstGeom>
                        <a:solidFill>
                          <a:schemeClr val="accent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5604C1" w14:textId="238D8794" w:rsidR="00F2348C" w:rsidRPr="00A7667D" w:rsidRDefault="00F2348C" w:rsidP="00964017">
                            <w:pPr>
                              <w:rPr>
                                <w:rFonts w:cs="Calibri"/>
                                <w:b/>
                                <w:color w:val="FFFFFF" w:themeColor="background1"/>
                                <w:sz w:val="28"/>
                              </w:rPr>
                            </w:pPr>
                            <w:r w:rsidRPr="00A7667D">
                              <w:rPr>
                                <w:rFonts w:cs="Calibri"/>
                                <w:b/>
                                <w:color w:val="FFFFFF" w:themeColor="background1"/>
                                <w:sz w:val="32"/>
                              </w:rPr>
                              <w:t xml:space="preserve">STEP 3 — </w:t>
                            </w:r>
                            <w:r w:rsidR="008C423E" w:rsidRPr="00A7667D">
                              <w:rPr>
                                <w:rFonts w:cs="Calibri"/>
                                <w:b/>
                                <w:color w:val="FFFFFF" w:themeColor="background1"/>
                                <w:sz w:val="32"/>
                              </w:rPr>
                              <w:t>Action Plan</w:t>
                            </w:r>
                            <w:r w:rsidR="00557FBE">
                              <w:rPr>
                                <w:rFonts w:cs="Calibri"/>
                                <w:b/>
                                <w:color w:val="FFFFFF" w:themeColor="background1"/>
                                <w:sz w:val="32"/>
                              </w:rPr>
                              <w:t>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CA3BC" id="Text Box 17" o:spid="_x0000_s1031" type="#_x0000_t202" style="position:absolute;margin-left:443.9pt;margin-top:-8.9pt;width:495.1pt;height:26.9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" fillcolor="#acd049 [3207]" stroked="f" strokeweight=".5pt">
                <v:textbox>
                  <w:txbxContent>
                    <w:p w14:paraId="7F5604C1" w14:textId="238D8794" w:rsidR="00F2348C" w:rsidRPr="00A7667D" w:rsidRDefault="00F2348C" w:rsidP="00964017">
                      <w:pPr>
                        <w:rPr>
                          <w:rFonts w:cs="Calibri"/>
                          <w:b/>
                          <w:color w:val="FFFFFF" w:themeColor="background1"/>
                          <w:sz w:val="28"/>
                        </w:rPr>
                      </w:pPr>
                      <w:r w:rsidRPr="00A7667D">
                        <w:rPr>
                          <w:rFonts w:cs="Calibri"/>
                          <w:b/>
                          <w:color w:val="FFFFFF" w:themeColor="background1"/>
                          <w:sz w:val="32"/>
                        </w:rPr>
                        <w:t xml:space="preserve">STEP 3 — </w:t>
                      </w:r>
                      <w:r w:rsidR="008C423E" w:rsidRPr="00A7667D">
                        <w:rPr>
                          <w:rFonts w:cs="Calibri"/>
                          <w:b/>
                          <w:color w:val="FFFFFF" w:themeColor="background1"/>
                          <w:sz w:val="32"/>
                        </w:rPr>
                        <w:t>Action Plan</w:t>
                      </w:r>
                      <w:r w:rsidR="00557FBE">
                        <w:rPr>
                          <w:rFonts w:cs="Calibri"/>
                          <w:b/>
                          <w:color w:val="FFFFFF" w:themeColor="background1"/>
                          <w:sz w:val="32"/>
                        </w:rPr>
                        <w:t>ning</w:t>
                      </w:r>
                    </w:p>
                  </w:txbxContent>
                </v:textbox>
                <w10:wrap anchorx="margin"/>
              </v:shape>
            </w:pict>
          </mc:Fallback>
        </mc:AlternateContent>
      </w:r>
    </w:p>
    <w:p w14:paraId="76987728" w14:textId="2C04B9B9" w:rsidR="00CB5DF7" w:rsidRDefault="00CB5DF7" w:rsidP="000E1E18"/>
    <w:p w14:paraId="02CCEB8C" w14:textId="0EDDE147" w:rsidR="00F872C3" w:rsidRPr="002D010C" w:rsidRDefault="003608DB" w:rsidP="00F13432">
      <w:pPr>
        <w:rPr>
          <w:rFonts w:cs="Calibri"/>
          <w:sz w:val="24"/>
        </w:rPr>
      </w:pPr>
      <w:r w:rsidRPr="00F872C3">
        <w:rPr>
          <w:rFonts w:cs="Calibri"/>
          <w:b/>
          <w:color w:val="13334C" w:themeColor="text2"/>
          <w:sz w:val="44"/>
        </w:rPr>
        <w:t>Resources</w:t>
      </w:r>
    </w:p>
    <w:p w14:paraId="3C3C0090" w14:textId="2A5ABD67" w:rsidR="00F872C3" w:rsidRPr="00F872C3" w:rsidRDefault="00F872C3" w:rsidP="002D010C">
      <w:pPr>
        <w:spacing w:before="120"/>
        <w:rPr>
          <w:rFonts w:cs="Calibri"/>
          <w:sz w:val="24"/>
        </w:rPr>
      </w:pPr>
      <w:r w:rsidRPr="00F872C3">
        <w:rPr>
          <w:rFonts w:cs="Calibri"/>
          <w:color w:val="000000"/>
          <w:szCs w:val="20"/>
        </w:rPr>
        <w:t>The resources listed on the following pages are examples of tools that may be useful in your community exploration. This is not an exhaustive list, nor are the listed resources appropriate for every comm</w:t>
      </w:r>
      <w:r w:rsidR="002D010C">
        <w:rPr>
          <w:rFonts w:cs="Calibri"/>
          <w:color w:val="000000"/>
          <w:szCs w:val="20"/>
        </w:rPr>
        <w:t>unity</w:t>
      </w:r>
      <w:r w:rsidRPr="00F872C3">
        <w:rPr>
          <w:rFonts w:cs="Calibri"/>
          <w:color w:val="000000"/>
          <w:szCs w:val="20"/>
        </w:rPr>
        <w:t xml:space="preserve">. </w:t>
      </w:r>
    </w:p>
    <w:p w14:paraId="64EE77BE" w14:textId="77777777" w:rsidR="00F872C3" w:rsidRPr="00F872C3" w:rsidRDefault="00F872C3" w:rsidP="00F872C3">
      <w:pPr>
        <w:rPr>
          <w:rFonts w:cs="Calibri"/>
        </w:rPr>
      </w:pPr>
    </w:p>
    <w:p w14:paraId="2B748F4A" w14:textId="3F985305" w:rsidR="00F872C3" w:rsidRPr="00F872C3" w:rsidRDefault="00F872C3" w:rsidP="00F872C3">
      <w:pPr>
        <w:spacing w:after="120"/>
        <w:rPr>
          <w:rFonts w:cs="Calibri"/>
          <w:b/>
          <w:color w:val="13334C" w:themeColor="text2"/>
          <w:sz w:val="28"/>
        </w:rPr>
      </w:pPr>
      <w:r w:rsidRPr="00F872C3">
        <w:rPr>
          <w:rFonts w:cs="Calibri"/>
          <w:b/>
          <w:color w:val="13334C" w:themeColor="text2"/>
          <w:sz w:val="28"/>
        </w:rPr>
        <w:t>Explanation of PSE</w:t>
      </w:r>
    </w:p>
    <w:p w14:paraId="31A9C680" w14:textId="77777777" w:rsidR="00F872C3" w:rsidRPr="00703F82" w:rsidRDefault="00F9486E" w:rsidP="00F872C3">
      <w:pPr>
        <w:pStyle w:val="ListParagraph"/>
        <w:numPr>
          <w:ilvl w:val="0"/>
          <w:numId w:val="12"/>
        </w:numPr>
        <w:rPr>
          <w:rFonts w:cs="Calibri"/>
          <w:b/>
          <w:color w:val="589ED5" w:themeColor="accent1" w:themeTint="80"/>
        </w:rPr>
      </w:pPr>
      <w:hyperlink r:id="rId8" w:history="1">
        <w:r w:rsidR="00F872C3" w:rsidRPr="00703F82">
          <w:rPr>
            <w:rStyle w:val="Hyperlink"/>
            <w:rFonts w:cs="Calibri"/>
            <w:b/>
            <w:color w:val="589ED5" w:themeColor="accent1" w:themeTint="80"/>
          </w:rPr>
          <w:t>What is Policy, Systems, and Environmental Change?</w:t>
        </w:r>
      </w:hyperlink>
    </w:p>
    <w:p w14:paraId="46199CC5" w14:textId="52B3C168" w:rsidR="00F872C3" w:rsidRDefault="00F872C3" w:rsidP="00F872C3">
      <w:pPr>
        <w:ind w:left="360"/>
        <w:rPr>
          <w:rFonts w:cs="Calibri"/>
        </w:rPr>
      </w:pPr>
      <w:r w:rsidRPr="00F872C3">
        <w:rPr>
          <w:rFonts w:cs="Calibri"/>
        </w:rPr>
        <w:t>This brief document outlines the meaning of each of these terms and provides a chart with examples of what each could look like in different settings.</w:t>
      </w:r>
    </w:p>
    <w:p w14:paraId="550FA63F" w14:textId="5CEF33C9" w:rsidR="00703F82" w:rsidRDefault="00703F82" w:rsidP="00F872C3">
      <w:pPr>
        <w:ind w:left="360"/>
        <w:rPr>
          <w:rFonts w:cs="Calibri"/>
        </w:rPr>
      </w:pPr>
    </w:p>
    <w:p w14:paraId="5FA28241" w14:textId="5CCD9B02" w:rsidR="00703F82" w:rsidRPr="00A92E02" w:rsidRDefault="00F9486E" w:rsidP="00A92E02">
      <w:pPr>
        <w:pStyle w:val="ListParagraph"/>
        <w:numPr>
          <w:ilvl w:val="0"/>
          <w:numId w:val="12"/>
        </w:numPr>
        <w:rPr>
          <w:rFonts w:cs="Calibri"/>
          <w:b/>
          <w:color w:val="589ED5" w:themeColor="accent1" w:themeTint="80"/>
        </w:rPr>
      </w:pPr>
      <w:hyperlink r:id="rId9" w:history="1">
        <w:r w:rsidR="00703F82" w:rsidRPr="00A92E02">
          <w:rPr>
            <w:rStyle w:val="Hyperlink"/>
            <w:rFonts w:cs="Calibri"/>
            <w:b/>
            <w:color w:val="589ED5" w:themeColor="accent1" w:themeTint="80"/>
          </w:rPr>
          <w:t>PSE Development Framework – Policy, Systems, and Environmental Change</w:t>
        </w:r>
      </w:hyperlink>
    </w:p>
    <w:p w14:paraId="13C7F92D" w14:textId="60798B03" w:rsidR="00703F82" w:rsidRPr="00F872C3" w:rsidRDefault="00703F82" w:rsidP="00F872C3">
      <w:pPr>
        <w:ind w:left="360"/>
        <w:rPr>
          <w:rFonts w:cs="Calibri"/>
        </w:rPr>
      </w:pPr>
      <w:r>
        <w:rPr>
          <w:rFonts w:cs="Calibri"/>
        </w:rPr>
        <w:t>This is a high-level, seven-step guide to creating PSE changes in your community. Many of the questions and ideas addressed in this framework are embedded into this Guide.</w:t>
      </w:r>
    </w:p>
    <w:p w14:paraId="7D468EC8" w14:textId="77777777" w:rsidR="00F872C3" w:rsidRPr="00F872C3" w:rsidRDefault="00F872C3" w:rsidP="00F872C3"/>
    <w:p w14:paraId="5FA00722" w14:textId="77777777" w:rsidR="00F872C3" w:rsidRPr="00F872C3" w:rsidRDefault="00F872C3" w:rsidP="00F872C3">
      <w:pPr>
        <w:spacing w:after="120"/>
        <w:rPr>
          <w:rFonts w:cs="Calibri"/>
          <w:b/>
          <w:color w:val="13334C" w:themeColor="text2"/>
          <w:sz w:val="28"/>
        </w:rPr>
      </w:pPr>
      <w:r w:rsidRPr="00F872C3">
        <w:rPr>
          <w:rFonts w:cs="Calibri"/>
          <w:b/>
          <w:color w:val="13334C" w:themeColor="text2"/>
          <w:sz w:val="28"/>
        </w:rPr>
        <w:t>Assessment Tools</w:t>
      </w:r>
    </w:p>
    <w:p w14:paraId="193E8DD4" w14:textId="77777777" w:rsidR="00F872C3" w:rsidRPr="00F872C3" w:rsidRDefault="00F872C3" w:rsidP="00F872C3">
      <w:pPr>
        <w:pStyle w:val="ListParagraph"/>
        <w:numPr>
          <w:ilvl w:val="0"/>
          <w:numId w:val="11"/>
        </w:numPr>
        <w:rPr>
          <w:rStyle w:val="Hyperlink"/>
          <w:rFonts w:cs="Calibri"/>
          <w:b/>
          <w:color w:val="589ED5" w:themeColor="accent1" w:themeTint="80"/>
        </w:rPr>
      </w:pPr>
      <w:r w:rsidRPr="00F872C3">
        <w:rPr>
          <w:rFonts w:cs="Calibri"/>
          <w:b/>
          <w:color w:val="589ED5" w:themeColor="accent1" w:themeTint="80"/>
        </w:rPr>
        <w:fldChar w:fldCharType="begin"/>
      </w:r>
      <w:r w:rsidRPr="00F872C3">
        <w:rPr>
          <w:rFonts w:cs="Calibri"/>
          <w:b/>
          <w:color w:val="589ED5" w:themeColor="accent1" w:themeTint="80"/>
        </w:rPr>
        <w:instrText xml:space="preserve"> HYPERLINK "https://vnrc.org/wp-content/uploads/2019/12/Fit_and_Healthy_Vermonters_Community_Assessment_Toolkit.pdf" </w:instrText>
      </w:r>
      <w:r w:rsidRPr="00F872C3">
        <w:rPr>
          <w:rFonts w:cs="Calibri"/>
          <w:b/>
          <w:color w:val="589ED5" w:themeColor="accent1" w:themeTint="80"/>
        </w:rPr>
        <w:fldChar w:fldCharType="separate"/>
      </w:r>
      <w:r w:rsidRPr="00F872C3">
        <w:rPr>
          <w:rStyle w:val="Hyperlink"/>
          <w:rFonts w:cs="Calibri"/>
          <w:b/>
          <w:color w:val="589ED5" w:themeColor="accent1" w:themeTint="80"/>
        </w:rPr>
        <w:t xml:space="preserve">Community Assessment Tool Kit: Nutrition and Physical Activity </w:t>
      </w:r>
    </w:p>
    <w:p w14:paraId="0FD3B5C4" w14:textId="1A0E70EF" w:rsidR="00F872C3" w:rsidRDefault="00F872C3" w:rsidP="00F872C3">
      <w:pPr>
        <w:spacing w:after="120"/>
        <w:ind w:left="360"/>
        <w:rPr>
          <w:rFonts w:cs="Calibri"/>
        </w:rPr>
      </w:pPr>
      <w:r w:rsidRPr="00F872C3">
        <w:rPr>
          <w:rFonts w:cs="Calibri"/>
          <w:b/>
          <w:color w:val="589ED5" w:themeColor="accent1" w:themeTint="80"/>
        </w:rPr>
        <w:fldChar w:fldCharType="end"/>
      </w:r>
      <w:r w:rsidRPr="00F872C3">
        <w:rPr>
          <w:rFonts w:cs="Calibri"/>
        </w:rPr>
        <w:t xml:space="preserve">This toolkit from the Vermont Department of Health </w:t>
      </w:r>
      <w:r w:rsidR="002D010C">
        <w:rPr>
          <w:rFonts w:cs="Calibri"/>
        </w:rPr>
        <w:t>covers the process of</w:t>
      </w:r>
      <w:r w:rsidRPr="00F872C3">
        <w:rPr>
          <w:rFonts w:cs="Calibri"/>
        </w:rPr>
        <w:t xml:space="preserve"> completing a community assessment</w:t>
      </w:r>
      <w:r w:rsidR="002D010C">
        <w:rPr>
          <w:rFonts w:cs="Calibri"/>
        </w:rPr>
        <w:t xml:space="preserve"> and</w:t>
      </w:r>
      <w:r w:rsidRPr="00F872C3">
        <w:rPr>
          <w:rFonts w:cs="Calibri"/>
        </w:rPr>
        <w:t xml:space="preserve"> provides worksheets with example </w:t>
      </w:r>
      <w:r w:rsidR="002D010C">
        <w:rPr>
          <w:rFonts w:cs="Calibri"/>
        </w:rPr>
        <w:t>questions</w:t>
      </w:r>
      <w:r w:rsidRPr="00F872C3">
        <w:rPr>
          <w:rFonts w:cs="Calibri"/>
        </w:rPr>
        <w:t xml:space="preserve"> and physical environment</w:t>
      </w:r>
      <w:r w:rsidR="002D010C">
        <w:rPr>
          <w:rFonts w:cs="Calibri"/>
        </w:rPr>
        <w:t xml:space="preserve"> audits</w:t>
      </w:r>
      <w:r w:rsidRPr="00F872C3">
        <w:rPr>
          <w:rFonts w:cs="Calibri"/>
        </w:rPr>
        <w:t>.</w:t>
      </w:r>
    </w:p>
    <w:p w14:paraId="47F0D913" w14:textId="77777777" w:rsidR="00F872C3" w:rsidRPr="00F872C3" w:rsidRDefault="00F9486E" w:rsidP="002D010C">
      <w:pPr>
        <w:pStyle w:val="ListParagraph"/>
        <w:numPr>
          <w:ilvl w:val="0"/>
          <w:numId w:val="11"/>
        </w:numPr>
        <w:spacing w:line="259" w:lineRule="auto"/>
        <w:rPr>
          <w:rFonts w:cs="Calibri"/>
          <w:b/>
          <w:color w:val="589ED5" w:themeColor="accent1" w:themeTint="80"/>
        </w:rPr>
      </w:pPr>
      <w:hyperlink r:id="rId10" w:history="1">
        <w:r w:rsidR="00F872C3" w:rsidRPr="00F872C3">
          <w:rPr>
            <w:rStyle w:val="Hyperlink"/>
            <w:rFonts w:cs="Calibri"/>
            <w:b/>
            <w:color w:val="589ED5" w:themeColor="accent1" w:themeTint="80"/>
          </w:rPr>
          <w:t>Wilder Collaboration Factors Inventory</w:t>
        </w:r>
      </w:hyperlink>
    </w:p>
    <w:p w14:paraId="7DC48291" w14:textId="77777777" w:rsidR="00F872C3" w:rsidRPr="00F872C3" w:rsidRDefault="00F872C3" w:rsidP="00F872C3">
      <w:pPr>
        <w:spacing w:after="120"/>
        <w:ind w:left="360"/>
        <w:rPr>
          <w:rFonts w:cs="Calibri"/>
        </w:rPr>
      </w:pPr>
      <w:r w:rsidRPr="00F872C3">
        <w:rPr>
          <w:rFonts w:cs="Calibri"/>
        </w:rPr>
        <w:t xml:space="preserve">This free online collaboration assessment and personal inventory helps assess collaborative groups. It’s a simple tool and allows for opportunity for deep discussion with community leaders around assets, </w:t>
      </w:r>
      <w:proofErr w:type="gramStart"/>
      <w:r w:rsidRPr="00F872C3">
        <w:rPr>
          <w:rFonts w:cs="Calibri"/>
        </w:rPr>
        <w:t>strengths</w:t>
      </w:r>
      <w:proofErr w:type="gramEnd"/>
      <w:r w:rsidRPr="00F872C3">
        <w:rPr>
          <w:rFonts w:cs="Calibri"/>
        </w:rPr>
        <w:t xml:space="preserve"> and weaknesses to achieve the partnership’s goals.</w:t>
      </w:r>
    </w:p>
    <w:p w14:paraId="76D1FE9E" w14:textId="77777777" w:rsidR="00F872C3" w:rsidRPr="00F872C3" w:rsidRDefault="00F9486E" w:rsidP="00F872C3">
      <w:pPr>
        <w:pStyle w:val="ListParagraph"/>
        <w:numPr>
          <w:ilvl w:val="0"/>
          <w:numId w:val="11"/>
        </w:numPr>
        <w:rPr>
          <w:rFonts w:cs="Calibri"/>
          <w:b/>
          <w:color w:val="589ED5" w:themeColor="accent1" w:themeTint="80"/>
        </w:rPr>
      </w:pPr>
      <w:hyperlink r:id="rId11" w:history="1">
        <w:r w:rsidR="00F872C3" w:rsidRPr="00F872C3">
          <w:rPr>
            <w:rStyle w:val="Hyperlink"/>
            <w:rFonts w:cs="Calibri"/>
            <w:b/>
            <w:color w:val="589ED5" w:themeColor="accent1" w:themeTint="80"/>
          </w:rPr>
          <w:t>Community Health Assessment and Group Evaluation (CHANGE)</w:t>
        </w:r>
      </w:hyperlink>
      <w:r w:rsidR="00F872C3" w:rsidRPr="00F872C3">
        <w:rPr>
          <w:rFonts w:cs="Calibri"/>
          <w:b/>
          <w:color w:val="589ED5" w:themeColor="accent1" w:themeTint="80"/>
        </w:rPr>
        <w:t xml:space="preserve"> </w:t>
      </w:r>
    </w:p>
    <w:p w14:paraId="28357FDC" w14:textId="719AB3BA" w:rsidR="00C30078" w:rsidRPr="00F872C3" w:rsidRDefault="00F872C3" w:rsidP="00BF142C">
      <w:pPr>
        <w:spacing w:after="120"/>
        <w:ind w:left="360"/>
        <w:rPr>
          <w:rFonts w:cs="Calibri"/>
        </w:rPr>
      </w:pPr>
      <w:r w:rsidRPr="00F872C3">
        <w:rPr>
          <w:rFonts w:cs="Calibri"/>
        </w:rPr>
        <w:t xml:space="preserve">This CDC </w:t>
      </w:r>
      <w:r w:rsidR="002D010C">
        <w:rPr>
          <w:rFonts w:cs="Calibri"/>
        </w:rPr>
        <w:t xml:space="preserve">resource </w:t>
      </w:r>
      <w:r w:rsidRPr="00F872C3">
        <w:rPr>
          <w:rFonts w:cs="Calibri"/>
        </w:rPr>
        <w:t xml:space="preserve">is a </w:t>
      </w:r>
      <w:r w:rsidR="002D010C">
        <w:rPr>
          <w:rFonts w:cs="Calibri"/>
        </w:rPr>
        <w:t xml:space="preserve">planning and </w:t>
      </w:r>
      <w:r w:rsidRPr="00F872C3">
        <w:rPr>
          <w:rFonts w:cs="Calibri"/>
        </w:rPr>
        <w:t xml:space="preserve">data-collection tool </w:t>
      </w:r>
      <w:r w:rsidR="002D010C">
        <w:rPr>
          <w:rFonts w:cs="Calibri"/>
        </w:rPr>
        <w:t xml:space="preserve">that walks </w:t>
      </w:r>
      <w:r w:rsidRPr="00F872C3">
        <w:rPr>
          <w:rFonts w:cs="Calibri"/>
        </w:rPr>
        <w:t xml:space="preserve">through a community assessment process and helps define and prioritize </w:t>
      </w:r>
      <w:r w:rsidR="002D010C">
        <w:rPr>
          <w:rFonts w:cs="Calibri"/>
        </w:rPr>
        <w:t>approaches</w:t>
      </w:r>
      <w:r w:rsidRPr="00F872C3">
        <w:rPr>
          <w:rFonts w:cs="Calibri"/>
        </w:rPr>
        <w:t xml:space="preserve"> </w:t>
      </w:r>
      <w:r w:rsidR="002D010C">
        <w:rPr>
          <w:rFonts w:cs="Calibri"/>
        </w:rPr>
        <w:t>with</w:t>
      </w:r>
      <w:r w:rsidRPr="00F872C3">
        <w:rPr>
          <w:rFonts w:cs="Calibri"/>
        </w:rPr>
        <w:t xml:space="preserve"> community-level data on current </w:t>
      </w:r>
      <w:r w:rsidR="002D010C">
        <w:rPr>
          <w:rFonts w:cs="Calibri"/>
        </w:rPr>
        <w:t>PSE</w:t>
      </w:r>
      <w:r>
        <w:rPr>
          <w:rFonts w:cs="Calibri"/>
        </w:rPr>
        <w:t xml:space="preserve"> strategies.</w:t>
      </w:r>
    </w:p>
    <w:p w14:paraId="3B1B9444" w14:textId="77777777" w:rsidR="00F872C3" w:rsidRPr="00F872C3" w:rsidRDefault="00F9486E" w:rsidP="00F872C3">
      <w:pPr>
        <w:pStyle w:val="ListParagraph"/>
        <w:numPr>
          <w:ilvl w:val="0"/>
          <w:numId w:val="11"/>
        </w:numPr>
        <w:rPr>
          <w:rFonts w:cs="Calibri"/>
          <w:b/>
          <w:color w:val="589ED5" w:themeColor="accent1" w:themeTint="80"/>
        </w:rPr>
      </w:pPr>
      <w:hyperlink r:id="rId12" w:history="1">
        <w:r w:rsidR="00F872C3" w:rsidRPr="00F872C3">
          <w:rPr>
            <w:rStyle w:val="Hyperlink"/>
            <w:rFonts w:cs="Calibri"/>
            <w:b/>
            <w:color w:val="589ED5" w:themeColor="accent1" w:themeTint="80"/>
          </w:rPr>
          <w:t>AARP Walk Audit Toolkit</w:t>
        </w:r>
      </w:hyperlink>
      <w:r w:rsidR="00F872C3" w:rsidRPr="00F872C3">
        <w:rPr>
          <w:rFonts w:cs="Calibri"/>
          <w:b/>
          <w:color w:val="589ED5" w:themeColor="accent1" w:themeTint="80"/>
        </w:rPr>
        <w:t xml:space="preserve"> </w:t>
      </w:r>
    </w:p>
    <w:p w14:paraId="04A75F23" w14:textId="29B2E942" w:rsidR="00F872C3" w:rsidRPr="00F872C3" w:rsidRDefault="00F872C3" w:rsidP="002D010C">
      <w:pPr>
        <w:ind w:left="360"/>
        <w:rPr>
          <w:rFonts w:cs="Calibri"/>
        </w:rPr>
      </w:pPr>
      <w:r w:rsidRPr="00F872C3">
        <w:rPr>
          <w:rFonts w:cs="Calibri"/>
        </w:rPr>
        <w:t>This walk audit toolkit provides step-by-</w:t>
      </w:r>
      <w:r w:rsidR="002D010C">
        <w:rPr>
          <w:rFonts w:cs="Calibri"/>
        </w:rPr>
        <w:t>step instructions</w:t>
      </w:r>
      <w:r w:rsidRPr="00F872C3">
        <w:rPr>
          <w:rFonts w:cs="Calibri"/>
        </w:rPr>
        <w:t xml:space="preserve"> for examining intersections, sidewalks, driver behavior, and more to assess community walk</w:t>
      </w:r>
      <w:r w:rsidR="002D010C">
        <w:rPr>
          <w:rFonts w:cs="Calibri"/>
        </w:rPr>
        <w:t>ability. It is meant to be user-</w:t>
      </w:r>
      <w:proofErr w:type="gramStart"/>
      <w:r w:rsidRPr="00F872C3">
        <w:rPr>
          <w:rFonts w:cs="Calibri"/>
        </w:rPr>
        <w:t>directed, and</w:t>
      </w:r>
      <w:proofErr w:type="gramEnd"/>
      <w:r w:rsidRPr="00F872C3">
        <w:rPr>
          <w:rFonts w:cs="Calibri"/>
        </w:rPr>
        <w:t xml:space="preserve"> would be a great tool to get community members involved in the assessment process. </w:t>
      </w:r>
    </w:p>
    <w:p w14:paraId="06896DF8" w14:textId="56EDE26D" w:rsidR="00375F45" w:rsidRDefault="00375F45" w:rsidP="00F872C3">
      <w:pPr>
        <w:spacing w:after="120"/>
      </w:pPr>
    </w:p>
    <w:p w14:paraId="7F14532D" w14:textId="49C7CE8C" w:rsidR="00BF142C" w:rsidRDefault="00BF142C" w:rsidP="00F872C3">
      <w:pPr>
        <w:spacing w:after="120"/>
      </w:pPr>
    </w:p>
    <w:p w14:paraId="114BAB9A" w14:textId="77777777" w:rsidR="00BF142C" w:rsidRDefault="00BF142C" w:rsidP="00F872C3">
      <w:pPr>
        <w:spacing w:after="120"/>
        <w:rPr>
          <w:rFonts w:cs="Calibri"/>
          <w:b/>
          <w:color w:val="13334C" w:themeColor="text2"/>
          <w:sz w:val="28"/>
        </w:rPr>
      </w:pPr>
    </w:p>
    <w:p w14:paraId="5BA0709B" w14:textId="20B7C125" w:rsidR="00F872C3" w:rsidRPr="00F872C3" w:rsidRDefault="00F872C3" w:rsidP="00F872C3">
      <w:pPr>
        <w:spacing w:after="120"/>
        <w:rPr>
          <w:rFonts w:cs="Calibri"/>
          <w:b/>
          <w:color w:val="13334C" w:themeColor="text2"/>
          <w:sz w:val="28"/>
        </w:rPr>
      </w:pPr>
      <w:r w:rsidRPr="00F872C3">
        <w:rPr>
          <w:rFonts w:cs="Calibri"/>
          <w:b/>
          <w:color w:val="13334C" w:themeColor="text2"/>
          <w:sz w:val="28"/>
        </w:rPr>
        <w:lastRenderedPageBreak/>
        <w:t>Community Engagement Tools</w:t>
      </w:r>
      <w:r w:rsidR="00480FD0">
        <w:rPr>
          <w:rFonts w:cs="Calibri"/>
          <w:b/>
          <w:color w:val="13334C" w:themeColor="text2"/>
          <w:sz w:val="28"/>
        </w:rPr>
        <w:t xml:space="preserve"> and </w:t>
      </w:r>
      <w:r w:rsidRPr="00F872C3">
        <w:rPr>
          <w:rFonts w:cs="Calibri"/>
          <w:b/>
          <w:color w:val="13334C" w:themeColor="text2"/>
          <w:sz w:val="28"/>
        </w:rPr>
        <w:t>Strategies</w:t>
      </w:r>
    </w:p>
    <w:p w14:paraId="350CC0C7" w14:textId="77777777" w:rsidR="00F872C3" w:rsidRPr="00F872C3" w:rsidRDefault="00F9486E" w:rsidP="00F872C3">
      <w:pPr>
        <w:pStyle w:val="ListParagraph"/>
        <w:numPr>
          <w:ilvl w:val="0"/>
          <w:numId w:val="11"/>
        </w:numPr>
        <w:rPr>
          <w:rFonts w:cs="Calibri"/>
          <w:b/>
          <w:color w:val="589ED5" w:themeColor="accent1" w:themeTint="80"/>
        </w:rPr>
      </w:pPr>
      <w:hyperlink r:id="rId13" w:history="1">
        <w:r w:rsidR="00F872C3" w:rsidRPr="00F872C3">
          <w:rPr>
            <w:rStyle w:val="Hyperlink"/>
            <w:rFonts w:cs="Calibri"/>
            <w:b/>
            <w:color w:val="589ED5" w:themeColor="accent1" w:themeTint="80"/>
          </w:rPr>
          <w:t>Community Toolbox</w:t>
        </w:r>
      </w:hyperlink>
    </w:p>
    <w:p w14:paraId="454C5D4C" w14:textId="74453C13" w:rsidR="00F872C3" w:rsidRPr="00F872C3" w:rsidRDefault="00F872C3" w:rsidP="00F872C3">
      <w:pPr>
        <w:spacing w:after="120"/>
        <w:ind w:left="360"/>
        <w:rPr>
          <w:rFonts w:cs="Calibri"/>
        </w:rPr>
      </w:pPr>
      <w:r w:rsidRPr="00F872C3">
        <w:rPr>
          <w:rFonts w:cs="Calibri"/>
        </w:rPr>
        <w:t xml:space="preserve">The Community </w:t>
      </w:r>
      <w:proofErr w:type="gramStart"/>
      <w:r w:rsidRPr="00F872C3">
        <w:rPr>
          <w:rFonts w:cs="Calibri"/>
        </w:rPr>
        <w:t>Tool Box</w:t>
      </w:r>
      <w:proofErr w:type="gramEnd"/>
      <w:r w:rsidRPr="00F872C3">
        <w:rPr>
          <w:rFonts w:cs="Calibri"/>
        </w:rPr>
        <w:t xml:space="preserve"> provides support for community assessment, planning, advocacy, evaluation, and other aspects of community practice</w:t>
      </w:r>
      <w:r w:rsidR="002D010C">
        <w:rPr>
          <w:rFonts w:cs="Calibri"/>
        </w:rPr>
        <w:t xml:space="preserve"> with</w:t>
      </w:r>
      <w:r w:rsidRPr="00F872C3">
        <w:rPr>
          <w:rFonts w:cs="Calibri"/>
        </w:rPr>
        <w:t xml:space="preserve"> over 300 educational modules and tools.</w:t>
      </w:r>
    </w:p>
    <w:p w14:paraId="1DA3FFA2" w14:textId="77777777" w:rsidR="00F872C3" w:rsidRPr="00F872C3" w:rsidRDefault="00F9486E" w:rsidP="00F872C3">
      <w:pPr>
        <w:pStyle w:val="ListParagraph"/>
        <w:numPr>
          <w:ilvl w:val="0"/>
          <w:numId w:val="11"/>
        </w:numPr>
        <w:spacing w:after="120"/>
        <w:rPr>
          <w:rFonts w:cs="Calibri"/>
          <w:b/>
          <w:color w:val="589ED5" w:themeColor="text2" w:themeTint="80"/>
        </w:rPr>
      </w:pPr>
      <w:hyperlink r:id="rId14" w:history="1">
        <w:r w:rsidR="00F872C3" w:rsidRPr="00F872C3">
          <w:rPr>
            <w:rStyle w:val="Hyperlink"/>
            <w:rFonts w:cs="Calibri"/>
            <w:b/>
            <w:color w:val="589ED5" w:themeColor="text2" w:themeTint="80"/>
          </w:rPr>
          <w:t>Community Listening Session Tool Kit</w:t>
        </w:r>
      </w:hyperlink>
    </w:p>
    <w:p w14:paraId="3792A738" w14:textId="77777777" w:rsidR="00F872C3" w:rsidRPr="00F872C3" w:rsidRDefault="00F872C3" w:rsidP="00F872C3">
      <w:pPr>
        <w:pStyle w:val="ListParagraph"/>
        <w:spacing w:after="120"/>
        <w:ind w:left="360"/>
        <w:contextualSpacing w:val="0"/>
        <w:rPr>
          <w:rFonts w:cs="Calibri"/>
        </w:rPr>
      </w:pPr>
      <w:r w:rsidRPr="00F872C3">
        <w:rPr>
          <w:rFonts w:cs="Calibri"/>
        </w:rPr>
        <w:t>This toolkit from the AARP Roadmap to Livability Collection walks through the process of preparing for and hosting a focus group or listening session.</w:t>
      </w:r>
    </w:p>
    <w:p w14:paraId="1025E01F" w14:textId="77777777" w:rsidR="00F872C3" w:rsidRPr="00F872C3" w:rsidRDefault="00F9486E" w:rsidP="00F872C3">
      <w:pPr>
        <w:pStyle w:val="ListParagraph"/>
        <w:numPr>
          <w:ilvl w:val="0"/>
          <w:numId w:val="11"/>
        </w:numPr>
        <w:rPr>
          <w:rFonts w:cs="Calibri"/>
          <w:b/>
          <w:color w:val="589ED5" w:themeColor="accent1" w:themeTint="80"/>
        </w:rPr>
      </w:pPr>
      <w:hyperlink r:id="rId15" w:history="1">
        <w:r w:rsidR="00F872C3" w:rsidRPr="00F872C3">
          <w:rPr>
            <w:rStyle w:val="Hyperlink"/>
            <w:rFonts w:cs="Calibri"/>
            <w:b/>
            <w:color w:val="589ED5" w:themeColor="accent1" w:themeTint="80"/>
          </w:rPr>
          <w:t>Developing Effective Focus Group Questions</w:t>
        </w:r>
      </w:hyperlink>
      <w:r w:rsidR="00F872C3" w:rsidRPr="00F872C3">
        <w:rPr>
          <w:rFonts w:cs="Calibri"/>
          <w:b/>
          <w:color w:val="589ED5" w:themeColor="accent1" w:themeTint="80"/>
        </w:rPr>
        <w:t xml:space="preserve"> </w:t>
      </w:r>
    </w:p>
    <w:p w14:paraId="1813B166" w14:textId="77777777" w:rsidR="00F872C3" w:rsidRPr="00F872C3" w:rsidRDefault="00F872C3" w:rsidP="009F0C70">
      <w:pPr>
        <w:spacing w:after="120"/>
        <w:ind w:left="360"/>
        <w:rPr>
          <w:rFonts w:cs="Calibri"/>
        </w:rPr>
      </w:pPr>
      <w:r w:rsidRPr="00F872C3">
        <w:rPr>
          <w:rFonts w:cs="Calibri"/>
        </w:rPr>
        <w:t>This webpage provides guidance on how to develop effective focus group questions.</w:t>
      </w:r>
    </w:p>
    <w:p w14:paraId="46894901" w14:textId="77777777" w:rsidR="00F872C3" w:rsidRPr="00F872C3" w:rsidRDefault="00F9486E" w:rsidP="00F872C3">
      <w:pPr>
        <w:pStyle w:val="ListParagraph"/>
        <w:numPr>
          <w:ilvl w:val="0"/>
          <w:numId w:val="11"/>
        </w:numPr>
        <w:rPr>
          <w:rFonts w:cs="Calibri"/>
          <w:b/>
          <w:color w:val="589ED5" w:themeColor="accent1" w:themeTint="80"/>
        </w:rPr>
      </w:pPr>
      <w:hyperlink r:id="rId16" w:history="1">
        <w:r w:rsidR="00F872C3" w:rsidRPr="00F872C3">
          <w:rPr>
            <w:rStyle w:val="Hyperlink"/>
            <w:rFonts w:cs="Calibri"/>
            <w:b/>
            <w:color w:val="589ED5" w:themeColor="accent1" w:themeTint="80"/>
          </w:rPr>
          <w:t>Identifying Community Assets and Resources</w:t>
        </w:r>
      </w:hyperlink>
      <w:r w:rsidR="00F872C3" w:rsidRPr="00F872C3">
        <w:rPr>
          <w:rFonts w:cs="Calibri"/>
          <w:b/>
          <w:color w:val="589ED5" w:themeColor="accent1" w:themeTint="80"/>
        </w:rPr>
        <w:t xml:space="preserve"> </w:t>
      </w:r>
    </w:p>
    <w:p w14:paraId="4980833C" w14:textId="069DDADE" w:rsidR="00F95433" w:rsidRPr="00B926BE" w:rsidRDefault="00F872C3" w:rsidP="002D010C">
      <w:pPr>
        <w:ind w:left="360"/>
        <w:rPr>
          <w:rFonts w:cs="Calibri"/>
          <w:color w:val="589ED5" w:themeColor="text2" w:themeTint="80"/>
          <w:sz w:val="14"/>
        </w:rPr>
      </w:pPr>
      <w:r w:rsidRPr="00F872C3">
        <w:rPr>
          <w:rFonts w:cs="Calibri"/>
        </w:rPr>
        <w:t>This portion of the Community Toolbox focuses on identifying, mapping, and using community assets.</w:t>
      </w:r>
      <w:r w:rsidR="00F95433">
        <w:rPr>
          <w:rFonts w:cs="Calibri"/>
        </w:rPr>
        <w:br/>
      </w:r>
    </w:p>
    <w:p w14:paraId="091E1230" w14:textId="605A418E" w:rsidR="00F95433" w:rsidRPr="00B926BE" w:rsidRDefault="00F9486E">
      <w:pPr>
        <w:pStyle w:val="ListParagraph"/>
        <w:numPr>
          <w:ilvl w:val="0"/>
          <w:numId w:val="11"/>
        </w:numPr>
        <w:rPr>
          <w:rFonts w:cs="Calibri"/>
          <w:b/>
          <w:color w:val="589ED5" w:themeColor="text2" w:themeTint="80"/>
        </w:rPr>
      </w:pPr>
      <w:hyperlink r:id="rId17" w:history="1">
        <w:r w:rsidR="00F95433" w:rsidRPr="00B926BE">
          <w:rPr>
            <w:rStyle w:val="Hyperlink"/>
            <w:rFonts w:cs="Calibri"/>
            <w:b/>
            <w:color w:val="589ED5" w:themeColor="text2" w:themeTint="80"/>
          </w:rPr>
          <w:t>North Carolina Guide to Incorporating Health Considerations into Comprehensive Plans</w:t>
        </w:r>
      </w:hyperlink>
      <w:r w:rsidR="00F95433" w:rsidRPr="00B926BE">
        <w:rPr>
          <w:rFonts w:cs="Calibri"/>
          <w:b/>
          <w:color w:val="589ED5" w:themeColor="text2" w:themeTint="80"/>
        </w:rPr>
        <w:t xml:space="preserve"> </w:t>
      </w:r>
    </w:p>
    <w:p w14:paraId="16CDA956" w14:textId="5186589C" w:rsidR="00F95433" w:rsidRDefault="00F95433" w:rsidP="00B926BE">
      <w:pPr>
        <w:pStyle w:val="ListParagraph"/>
        <w:spacing w:after="160" w:line="259" w:lineRule="auto"/>
        <w:ind w:left="360"/>
      </w:pPr>
      <w:r>
        <w:t xml:space="preserve">This resource shares strategies to incorporate community voice into planning processes. It includes considerations based on strategies, like healthy eating, physical </w:t>
      </w:r>
      <w:proofErr w:type="gramStart"/>
      <w:r>
        <w:t>activity</w:t>
      </w:r>
      <w:proofErr w:type="gramEnd"/>
      <w:r>
        <w:t xml:space="preserve"> and emergency preparedness.</w:t>
      </w:r>
    </w:p>
    <w:p w14:paraId="1373CB6C" w14:textId="77777777" w:rsidR="00F872C3" w:rsidRPr="00F872C3" w:rsidRDefault="00F872C3" w:rsidP="00F872C3">
      <w:pPr>
        <w:spacing w:after="120"/>
        <w:rPr>
          <w:rFonts w:cs="Calibri"/>
          <w:b/>
          <w:color w:val="13334C" w:themeColor="text2"/>
          <w:sz w:val="28"/>
        </w:rPr>
      </w:pPr>
      <w:r w:rsidRPr="00F872C3">
        <w:rPr>
          <w:rFonts w:cs="Calibri"/>
          <w:b/>
          <w:color w:val="13334C" w:themeColor="text2"/>
          <w:sz w:val="28"/>
        </w:rPr>
        <w:t>Data and Mapping Tools</w:t>
      </w:r>
    </w:p>
    <w:p w14:paraId="5C4FB9D6" w14:textId="77777777" w:rsidR="00F872C3" w:rsidRPr="00F872C3" w:rsidRDefault="00F9486E" w:rsidP="00F872C3">
      <w:pPr>
        <w:pStyle w:val="ListParagraph"/>
        <w:numPr>
          <w:ilvl w:val="0"/>
          <w:numId w:val="11"/>
        </w:numPr>
        <w:rPr>
          <w:rFonts w:cs="Calibri"/>
          <w:b/>
          <w:color w:val="589ED5" w:themeColor="accent1" w:themeTint="80"/>
        </w:rPr>
      </w:pPr>
      <w:hyperlink r:id="rId18" w:history="1">
        <w:r w:rsidR="00F872C3" w:rsidRPr="00F872C3">
          <w:rPr>
            <w:rStyle w:val="Hyperlink"/>
            <w:rFonts w:cs="Calibri"/>
            <w:b/>
            <w:color w:val="589ED5" w:themeColor="accent1" w:themeTint="80"/>
          </w:rPr>
          <w:t>County Health Rankings and Roadmaps</w:t>
        </w:r>
      </w:hyperlink>
      <w:r w:rsidR="00F872C3" w:rsidRPr="00F872C3">
        <w:rPr>
          <w:rFonts w:cs="Calibri"/>
          <w:b/>
          <w:color w:val="589ED5" w:themeColor="accent1" w:themeTint="80"/>
        </w:rPr>
        <w:t xml:space="preserve"> </w:t>
      </w:r>
    </w:p>
    <w:p w14:paraId="79992B25" w14:textId="77777777" w:rsidR="00F872C3" w:rsidRPr="00F872C3" w:rsidRDefault="00F872C3" w:rsidP="00F872C3">
      <w:pPr>
        <w:spacing w:after="120"/>
        <w:ind w:left="360"/>
        <w:rPr>
          <w:rFonts w:cs="Calibri"/>
        </w:rPr>
      </w:pPr>
      <w:r w:rsidRPr="00F872C3">
        <w:rPr>
          <w:rFonts w:cs="Calibri"/>
        </w:rPr>
        <w:t xml:space="preserve">CHR&amp;R provides access to county-level health data, along with other resources to </w:t>
      </w:r>
      <w:proofErr w:type="gramStart"/>
      <w:r w:rsidRPr="00F872C3">
        <w:rPr>
          <w:rFonts w:cs="Calibri"/>
        </w:rPr>
        <w:t>take action</w:t>
      </w:r>
      <w:proofErr w:type="gramEnd"/>
      <w:r w:rsidRPr="00F872C3">
        <w:rPr>
          <w:rFonts w:cs="Calibri"/>
        </w:rPr>
        <w:t>.</w:t>
      </w:r>
    </w:p>
    <w:p w14:paraId="04191392" w14:textId="77777777" w:rsidR="00F872C3" w:rsidRPr="00F872C3" w:rsidRDefault="00F9486E" w:rsidP="00F872C3">
      <w:pPr>
        <w:pStyle w:val="ListParagraph"/>
        <w:numPr>
          <w:ilvl w:val="0"/>
          <w:numId w:val="11"/>
        </w:numPr>
        <w:rPr>
          <w:rFonts w:cs="Calibri"/>
          <w:b/>
          <w:color w:val="589ED5" w:themeColor="accent1" w:themeTint="80"/>
        </w:rPr>
      </w:pPr>
      <w:hyperlink r:id="rId19" w:history="1">
        <w:r w:rsidR="00F872C3" w:rsidRPr="00F872C3">
          <w:rPr>
            <w:rStyle w:val="Hyperlink"/>
            <w:rFonts w:cs="Calibri"/>
            <w:b/>
            <w:color w:val="589ED5" w:themeColor="accent1" w:themeTint="80"/>
          </w:rPr>
          <w:t>CDC Social Vulnerability Index</w:t>
        </w:r>
      </w:hyperlink>
    </w:p>
    <w:p w14:paraId="28BB51E2" w14:textId="0D515800" w:rsidR="00F872C3" w:rsidRPr="00F872C3" w:rsidRDefault="00F872C3" w:rsidP="009F0C70">
      <w:pPr>
        <w:pStyle w:val="ListParagraph"/>
        <w:spacing w:after="120"/>
        <w:ind w:left="360"/>
        <w:contextualSpacing w:val="0"/>
        <w:rPr>
          <w:rFonts w:cs="Calibri"/>
        </w:rPr>
      </w:pPr>
      <w:r w:rsidRPr="00F872C3">
        <w:rPr>
          <w:rFonts w:cs="Calibri"/>
          <w:bCs/>
        </w:rPr>
        <w:t>This tool </w:t>
      </w:r>
      <w:r w:rsidRPr="00F872C3">
        <w:rPr>
          <w:rFonts w:cs="Calibri"/>
        </w:rPr>
        <w:t xml:space="preserve">uses Census variables to help identify high risk areas within a community. </w:t>
      </w:r>
      <w:r w:rsidRPr="00F872C3">
        <w:rPr>
          <w:rFonts w:cs="Calibri"/>
          <w:bCs/>
        </w:rPr>
        <w:t>Social vulnerability</w:t>
      </w:r>
      <w:r w:rsidRPr="00F872C3">
        <w:rPr>
          <w:rFonts w:cs="Calibri"/>
        </w:rPr>
        <w:t xml:space="preserve"> refers to the potential negative effects on communities caused by external stresses on human health. Such stresses include natural or human-caused disasters, or disease outbreaks. </w:t>
      </w:r>
    </w:p>
    <w:p w14:paraId="6C70E442" w14:textId="0D515800" w:rsidR="00F872C3" w:rsidRPr="00F872C3" w:rsidRDefault="00F9486E" w:rsidP="00F872C3">
      <w:pPr>
        <w:pStyle w:val="ListParagraph"/>
        <w:numPr>
          <w:ilvl w:val="0"/>
          <w:numId w:val="11"/>
        </w:numPr>
        <w:rPr>
          <w:rFonts w:cs="Calibri"/>
          <w:b/>
          <w:color w:val="589ED5" w:themeColor="accent1" w:themeTint="80"/>
        </w:rPr>
      </w:pPr>
      <w:hyperlink r:id="rId20" w:history="1">
        <w:r w:rsidR="00F872C3" w:rsidRPr="00F872C3">
          <w:rPr>
            <w:rStyle w:val="Hyperlink"/>
            <w:rFonts w:cs="Calibri"/>
            <w:b/>
            <w:color w:val="589ED5" w:themeColor="accent1" w:themeTint="80"/>
          </w:rPr>
          <w:t>City Health Dashboard</w:t>
        </w:r>
      </w:hyperlink>
      <w:r w:rsidR="00F872C3" w:rsidRPr="00F872C3">
        <w:rPr>
          <w:rFonts w:cs="Calibri"/>
          <w:b/>
          <w:color w:val="589ED5" w:themeColor="accent1" w:themeTint="80"/>
        </w:rPr>
        <w:t xml:space="preserve"> </w:t>
      </w:r>
    </w:p>
    <w:p w14:paraId="41F1B508" w14:textId="77777777" w:rsidR="00F872C3" w:rsidRPr="00F872C3" w:rsidRDefault="00F872C3" w:rsidP="00F872C3">
      <w:pPr>
        <w:ind w:left="360"/>
        <w:rPr>
          <w:rFonts w:cs="Calibri"/>
        </w:rPr>
      </w:pPr>
      <w:r w:rsidRPr="00F872C3">
        <w:rPr>
          <w:rFonts w:cs="Calibri"/>
        </w:rPr>
        <w:t>This dashboard provides city-level data on 37 measures of health, allowing users to examine demographic differences, view data by neighborhood, and even visualize data.</w:t>
      </w:r>
    </w:p>
    <w:p w14:paraId="03C1BFC9" w14:textId="77777777" w:rsidR="00F872C3" w:rsidRPr="00F872C3" w:rsidRDefault="00F872C3" w:rsidP="00F872C3"/>
    <w:p w14:paraId="32B79606" w14:textId="6BD29AEF" w:rsidR="00F872C3" w:rsidRPr="00F872C3" w:rsidRDefault="00F872C3" w:rsidP="00F872C3">
      <w:pPr>
        <w:spacing w:after="120"/>
        <w:rPr>
          <w:rFonts w:cs="Calibri"/>
          <w:b/>
          <w:color w:val="13334C" w:themeColor="text2"/>
          <w:sz w:val="28"/>
        </w:rPr>
      </w:pPr>
      <w:r>
        <w:rPr>
          <w:rFonts w:cs="Calibri"/>
          <w:b/>
          <w:color w:val="13334C" w:themeColor="text2"/>
          <w:sz w:val="28"/>
        </w:rPr>
        <w:t>Example Policies</w:t>
      </w:r>
    </w:p>
    <w:p w14:paraId="4A5F9F74" w14:textId="46AFF90D" w:rsidR="00F872C3" w:rsidRPr="00F872C3" w:rsidRDefault="00F872C3" w:rsidP="00F872C3">
      <w:pPr>
        <w:rPr>
          <w:rFonts w:cs="Calibri"/>
        </w:rPr>
      </w:pPr>
      <w:r w:rsidRPr="00F872C3">
        <w:rPr>
          <w:rFonts w:cs="Calibri"/>
        </w:rPr>
        <w:t xml:space="preserve">The following examples are for illustration purposes only of different types of policies that can support healthy living. They are not meant to be implemented as part of your </w:t>
      </w:r>
      <w:r w:rsidR="008F5DCE">
        <w:rPr>
          <w:rFonts w:cs="Calibri"/>
        </w:rPr>
        <w:t>c</w:t>
      </w:r>
      <w:r w:rsidRPr="00F872C3">
        <w:rPr>
          <w:rFonts w:cs="Calibri"/>
        </w:rPr>
        <w:t xml:space="preserve">ommunity PSE </w:t>
      </w:r>
      <w:r w:rsidR="008F5DCE">
        <w:rPr>
          <w:rFonts w:cs="Calibri"/>
        </w:rPr>
        <w:t>e</w:t>
      </w:r>
      <w:r w:rsidRPr="00F872C3">
        <w:rPr>
          <w:rFonts w:cs="Calibri"/>
        </w:rPr>
        <w:t>xploration.</w:t>
      </w:r>
    </w:p>
    <w:p w14:paraId="517505DF" w14:textId="77777777" w:rsidR="00F872C3" w:rsidRPr="00F872C3" w:rsidRDefault="00F872C3" w:rsidP="00F872C3">
      <w:pPr>
        <w:rPr>
          <w:rFonts w:cs="Calibri"/>
        </w:rPr>
      </w:pPr>
    </w:p>
    <w:p w14:paraId="116F28F6" w14:textId="77777777" w:rsidR="00F872C3" w:rsidRPr="009F0C70" w:rsidRDefault="00F9486E" w:rsidP="009F0C70">
      <w:pPr>
        <w:numPr>
          <w:ilvl w:val="0"/>
          <w:numId w:val="11"/>
        </w:numPr>
        <w:spacing w:line="259" w:lineRule="auto"/>
        <w:rPr>
          <w:rFonts w:cs="Calibri"/>
          <w:b/>
          <w:color w:val="589ED5" w:themeColor="accent1" w:themeTint="80"/>
        </w:rPr>
      </w:pPr>
      <w:hyperlink r:id="rId21" w:history="1">
        <w:proofErr w:type="spellStart"/>
        <w:r w:rsidR="00F872C3" w:rsidRPr="009F0C70">
          <w:rPr>
            <w:rStyle w:val="Hyperlink"/>
            <w:rFonts w:cs="Calibri"/>
            <w:b/>
            <w:color w:val="589ED5" w:themeColor="accent1" w:themeTint="80"/>
          </w:rPr>
          <w:t>ChangeLab</w:t>
        </w:r>
        <w:proofErr w:type="spellEnd"/>
        <w:r w:rsidR="00F872C3" w:rsidRPr="009F0C70">
          <w:rPr>
            <w:rStyle w:val="Hyperlink"/>
            <w:rFonts w:cs="Calibri"/>
            <w:b/>
            <w:color w:val="589ED5" w:themeColor="accent1" w:themeTint="80"/>
          </w:rPr>
          <w:t xml:space="preserve"> Solutions</w:t>
        </w:r>
      </w:hyperlink>
      <w:r w:rsidR="00F872C3" w:rsidRPr="009F0C70">
        <w:rPr>
          <w:rFonts w:cs="Calibri"/>
          <w:b/>
          <w:color w:val="589ED5" w:themeColor="accent1" w:themeTint="80"/>
        </w:rPr>
        <w:t xml:space="preserve"> </w:t>
      </w:r>
    </w:p>
    <w:p w14:paraId="70831CE3" w14:textId="77777777" w:rsidR="00F872C3" w:rsidRPr="00F872C3" w:rsidRDefault="00F872C3" w:rsidP="009F0C70">
      <w:pPr>
        <w:spacing w:after="120"/>
        <w:ind w:left="360"/>
        <w:rPr>
          <w:rFonts w:cs="Calibri"/>
        </w:rPr>
      </w:pPr>
      <w:proofErr w:type="spellStart"/>
      <w:r w:rsidRPr="00F872C3">
        <w:rPr>
          <w:rFonts w:cs="Calibri"/>
        </w:rPr>
        <w:t>ChangeLab</w:t>
      </w:r>
      <w:proofErr w:type="spellEnd"/>
      <w:r w:rsidRPr="00F872C3">
        <w:rPr>
          <w:rFonts w:cs="Calibri"/>
        </w:rPr>
        <w:t xml:space="preserve"> Solutions works across the nation to advance equitable laws and policies to promote healthy lives for all. The resources below offer policy strategies for healthier neighborhoods and food systems. In addition to policy explanations, the pages also include toolkits, funding strategies, recorded webinars, community anecdotes, and other advocacy resources.</w:t>
      </w:r>
    </w:p>
    <w:p w14:paraId="70F82128" w14:textId="77777777" w:rsidR="00F872C3" w:rsidRPr="002D010C" w:rsidRDefault="00F9486E" w:rsidP="009F0C70">
      <w:pPr>
        <w:numPr>
          <w:ilvl w:val="1"/>
          <w:numId w:val="11"/>
        </w:numPr>
        <w:spacing w:line="259" w:lineRule="auto"/>
        <w:rPr>
          <w:rFonts w:cs="Calibri"/>
          <w:color w:val="589ED5" w:themeColor="accent1" w:themeTint="80"/>
        </w:rPr>
      </w:pPr>
      <w:hyperlink r:id="rId22" w:history="1">
        <w:r w:rsidR="00F872C3" w:rsidRPr="002D010C">
          <w:rPr>
            <w:rStyle w:val="Hyperlink"/>
            <w:rFonts w:cs="Calibri"/>
            <w:color w:val="589ED5" w:themeColor="accent1" w:themeTint="80"/>
          </w:rPr>
          <w:t>Food and Beverage</w:t>
        </w:r>
      </w:hyperlink>
      <w:r w:rsidR="00F872C3" w:rsidRPr="002D010C">
        <w:rPr>
          <w:rFonts w:cs="Calibri"/>
          <w:color w:val="589ED5" w:themeColor="accent1" w:themeTint="80"/>
        </w:rPr>
        <w:t xml:space="preserve"> </w:t>
      </w:r>
    </w:p>
    <w:p w14:paraId="7A1CDC8F" w14:textId="77777777" w:rsidR="00F872C3" w:rsidRPr="002D010C" w:rsidRDefault="00F9486E" w:rsidP="009F0C70">
      <w:pPr>
        <w:numPr>
          <w:ilvl w:val="1"/>
          <w:numId w:val="11"/>
        </w:numPr>
        <w:spacing w:line="259" w:lineRule="auto"/>
        <w:rPr>
          <w:rFonts w:cs="Calibri"/>
          <w:color w:val="589ED5" w:themeColor="accent1" w:themeTint="80"/>
        </w:rPr>
      </w:pPr>
      <w:hyperlink r:id="rId23" w:history="1">
        <w:r w:rsidR="00F872C3" w:rsidRPr="002D010C">
          <w:rPr>
            <w:rStyle w:val="Hyperlink"/>
            <w:rFonts w:cs="Calibri"/>
            <w:color w:val="589ED5" w:themeColor="accent1" w:themeTint="80"/>
          </w:rPr>
          <w:t>Food Systems</w:t>
        </w:r>
      </w:hyperlink>
    </w:p>
    <w:p w14:paraId="419DFABD" w14:textId="1206A708" w:rsidR="00921260" w:rsidRPr="004C12F9" w:rsidRDefault="00F9486E" w:rsidP="00921260">
      <w:pPr>
        <w:numPr>
          <w:ilvl w:val="1"/>
          <w:numId w:val="11"/>
        </w:numPr>
        <w:spacing w:after="120" w:line="259" w:lineRule="auto"/>
        <w:rPr>
          <w:rFonts w:cs="Calibri"/>
          <w:color w:val="589ED5" w:themeColor="accent1" w:themeTint="80"/>
        </w:rPr>
      </w:pPr>
      <w:hyperlink r:id="rId24" w:history="1">
        <w:r w:rsidR="00F872C3" w:rsidRPr="002D010C">
          <w:rPr>
            <w:rStyle w:val="Hyperlink"/>
            <w:rFonts w:cs="Calibri"/>
            <w:color w:val="589ED5" w:themeColor="accent1" w:themeTint="80"/>
          </w:rPr>
          <w:t>Healthy Neighborhoods</w:t>
        </w:r>
      </w:hyperlink>
    </w:p>
    <w:p w14:paraId="3BA3FBAF" w14:textId="77777777" w:rsidR="00F872C3" w:rsidRPr="009F0C70" w:rsidRDefault="00F9486E" w:rsidP="002D010C">
      <w:pPr>
        <w:numPr>
          <w:ilvl w:val="0"/>
          <w:numId w:val="13"/>
        </w:numPr>
        <w:spacing w:line="259" w:lineRule="auto"/>
        <w:rPr>
          <w:rFonts w:cs="Calibri"/>
          <w:b/>
          <w:color w:val="589ED5" w:themeColor="accent1" w:themeTint="80"/>
        </w:rPr>
      </w:pPr>
      <w:hyperlink r:id="rId25" w:history="1">
        <w:r w:rsidR="00F872C3" w:rsidRPr="009F0C70">
          <w:rPr>
            <w:rStyle w:val="Hyperlink"/>
            <w:rFonts w:cs="Calibri"/>
            <w:b/>
            <w:color w:val="589ED5" w:themeColor="accent1" w:themeTint="80"/>
          </w:rPr>
          <w:t>Active Living Research</w:t>
        </w:r>
      </w:hyperlink>
    </w:p>
    <w:p w14:paraId="1CFB37C7" w14:textId="77777777" w:rsidR="00F872C3" w:rsidRPr="00F872C3" w:rsidRDefault="00F872C3" w:rsidP="002D010C">
      <w:pPr>
        <w:spacing w:after="120"/>
        <w:ind w:left="360"/>
        <w:rPr>
          <w:rFonts w:cs="Calibri"/>
        </w:rPr>
      </w:pPr>
      <w:r w:rsidRPr="00F872C3">
        <w:rPr>
          <w:rFonts w:cs="Calibri"/>
        </w:rPr>
        <w:t xml:space="preserve">Active Living Research builds evidence on how to create communities that increase opportunities for physical activity, with the goal of supporting, sharing, and putting into practice research that can promote daily physical activity for children and families, especially among children of color and lower-income children. </w:t>
      </w:r>
    </w:p>
    <w:p w14:paraId="6C97808B" w14:textId="77777777" w:rsidR="00F872C3" w:rsidRPr="009F0C70" w:rsidRDefault="00F9486E" w:rsidP="002D010C">
      <w:pPr>
        <w:numPr>
          <w:ilvl w:val="0"/>
          <w:numId w:val="13"/>
        </w:numPr>
        <w:spacing w:line="259" w:lineRule="auto"/>
        <w:rPr>
          <w:rFonts w:cs="Calibri"/>
          <w:b/>
          <w:color w:val="589ED5" w:themeColor="accent1" w:themeTint="80"/>
        </w:rPr>
      </w:pPr>
      <w:hyperlink r:id="rId26" w:history="1">
        <w:r w:rsidR="00F872C3" w:rsidRPr="009F0C70">
          <w:rPr>
            <w:rStyle w:val="Hyperlink"/>
            <w:rFonts w:cs="Calibri"/>
            <w:b/>
            <w:color w:val="589ED5" w:themeColor="accent1" w:themeTint="80"/>
          </w:rPr>
          <w:t>Healthy Eating Research</w:t>
        </w:r>
      </w:hyperlink>
    </w:p>
    <w:p w14:paraId="0B2B37A1" w14:textId="43121B2C" w:rsidR="00F872C3" w:rsidRPr="00F872C3" w:rsidRDefault="00F872C3" w:rsidP="002D010C">
      <w:pPr>
        <w:spacing w:after="120"/>
        <w:ind w:left="360"/>
        <w:rPr>
          <w:rFonts w:cs="Calibri"/>
        </w:rPr>
      </w:pPr>
      <w:r w:rsidRPr="00F872C3">
        <w:rPr>
          <w:rFonts w:cs="Calibri"/>
        </w:rPr>
        <w:t xml:space="preserve">Healthy Eating Research supports research on </w:t>
      </w:r>
      <w:r w:rsidR="002D010C">
        <w:rPr>
          <w:rFonts w:cs="Calibri"/>
        </w:rPr>
        <w:t>PSE</w:t>
      </w:r>
      <w:r w:rsidRPr="00F872C3">
        <w:rPr>
          <w:rFonts w:cs="Calibri"/>
        </w:rPr>
        <w:t xml:space="preserve"> strategies that have strong potential to promote healthy eating among children, especially among lower-income and racial and ethnic minority population groups. </w:t>
      </w:r>
    </w:p>
    <w:p w14:paraId="1401DAF5" w14:textId="77777777" w:rsidR="00F872C3" w:rsidRPr="009F0C70" w:rsidRDefault="00F9486E" w:rsidP="002D010C">
      <w:pPr>
        <w:numPr>
          <w:ilvl w:val="0"/>
          <w:numId w:val="11"/>
        </w:numPr>
        <w:spacing w:line="259" w:lineRule="auto"/>
        <w:rPr>
          <w:rFonts w:cs="Calibri"/>
          <w:b/>
          <w:color w:val="589ED5" w:themeColor="accent1" w:themeTint="80"/>
        </w:rPr>
      </w:pPr>
      <w:hyperlink r:id="rId27" w:history="1">
        <w:r w:rsidR="00F872C3" w:rsidRPr="009F0C70">
          <w:rPr>
            <w:rStyle w:val="Hyperlink"/>
            <w:rFonts w:cs="Calibri"/>
            <w:b/>
            <w:color w:val="589ED5" w:themeColor="accent1" w:themeTint="80"/>
          </w:rPr>
          <w:t>MSU Extension Community Food Systems</w:t>
        </w:r>
      </w:hyperlink>
    </w:p>
    <w:p w14:paraId="263996B6" w14:textId="77777777" w:rsidR="00F872C3" w:rsidRPr="00F872C3" w:rsidRDefault="00F872C3" w:rsidP="002D010C">
      <w:pPr>
        <w:spacing w:after="120"/>
        <w:ind w:left="360"/>
        <w:rPr>
          <w:rFonts w:cs="Calibri"/>
        </w:rPr>
      </w:pPr>
      <w:r w:rsidRPr="00F872C3">
        <w:rPr>
          <w:rFonts w:cs="Calibri"/>
        </w:rPr>
        <w:t>MSU Extension supports community food systems in Michigan by providing resources and programs to develop local food policy councils, farm-to-institutional purchasing, food hubs, and farmers’ markets.</w:t>
      </w:r>
    </w:p>
    <w:p w14:paraId="0F9F5648" w14:textId="1CB6A6FF" w:rsidR="00AC10DE" w:rsidRPr="00B926BE" w:rsidRDefault="00AC10DE" w:rsidP="00AC10DE">
      <w:pPr>
        <w:numPr>
          <w:ilvl w:val="0"/>
          <w:numId w:val="11"/>
        </w:numPr>
        <w:spacing w:line="259" w:lineRule="auto"/>
        <w:rPr>
          <w:rStyle w:val="Hyperlink"/>
          <w:rFonts w:cs="Calibri"/>
          <w:b/>
          <w:color w:val="589ED5" w:themeColor="text2" w:themeTint="80"/>
        </w:rPr>
      </w:pPr>
      <w:r w:rsidRPr="00B926BE">
        <w:rPr>
          <w:rFonts w:cs="Calibri"/>
          <w:b/>
          <w:color w:val="589ED5" w:themeColor="text2" w:themeTint="80"/>
        </w:rPr>
        <w:fldChar w:fldCharType="begin"/>
      </w:r>
      <w:r w:rsidRPr="00B926BE">
        <w:rPr>
          <w:rFonts w:cs="Calibri"/>
          <w:b/>
          <w:color w:val="589ED5" w:themeColor="text2" w:themeTint="80"/>
        </w:rPr>
        <w:instrText xml:space="preserve"> HYPERLINK "https://planning-org-uploaded-media.s3.amazonaws.com/publication/download_pdf/Toolkit-to-Integrate-Health-and-Equity-into-Comprehensive-Plans.pdf" </w:instrText>
      </w:r>
      <w:r w:rsidRPr="00B926BE">
        <w:rPr>
          <w:rFonts w:cs="Calibri"/>
          <w:b/>
          <w:color w:val="589ED5" w:themeColor="text2" w:themeTint="80"/>
        </w:rPr>
        <w:fldChar w:fldCharType="separate"/>
      </w:r>
      <w:r w:rsidRPr="00B926BE">
        <w:rPr>
          <w:rStyle w:val="Hyperlink"/>
          <w:rFonts w:cs="Calibri"/>
          <w:b/>
          <w:color w:val="589ED5" w:themeColor="text2" w:themeTint="80"/>
        </w:rPr>
        <w:t>Toolkit to Integrate Health and Equity into Comprehensive Plans</w:t>
      </w:r>
      <w:r>
        <w:rPr>
          <w:rStyle w:val="Hyperlink"/>
          <w:rFonts w:cs="Calibri"/>
          <w:b/>
          <w:color w:val="589ED5" w:themeColor="text2" w:themeTint="80"/>
        </w:rPr>
        <w:t xml:space="preserve"> (APA)</w:t>
      </w:r>
    </w:p>
    <w:p w14:paraId="6E84594C" w14:textId="168D9CE9" w:rsidR="00AC10DE" w:rsidRDefault="00AC10DE" w:rsidP="00B926BE">
      <w:pPr>
        <w:pStyle w:val="ListParagraph"/>
        <w:spacing w:after="160" w:line="259" w:lineRule="auto"/>
        <w:ind w:left="360"/>
      </w:pPr>
      <w:r w:rsidRPr="00B926BE">
        <w:rPr>
          <w:rFonts w:cs="Calibri"/>
          <w:b/>
          <w:color w:val="589ED5" w:themeColor="text2" w:themeTint="80"/>
        </w:rPr>
        <w:fldChar w:fldCharType="end"/>
      </w:r>
      <w:r>
        <w:t xml:space="preserve">This includes specific language and is good for planners and non-planners alike. It gives real-community examples and outlines the goals, policies, and actions for each. </w:t>
      </w:r>
    </w:p>
    <w:p w14:paraId="561ACFF2" w14:textId="77777777" w:rsidR="00AC10DE" w:rsidRPr="00B926BE" w:rsidRDefault="00AC10DE" w:rsidP="00B926BE">
      <w:pPr>
        <w:pStyle w:val="ListParagraph"/>
        <w:spacing w:after="120"/>
        <w:ind w:left="360"/>
        <w:rPr>
          <w:rFonts w:cs="Calibri"/>
          <w:b/>
          <w:color w:val="589ED5" w:themeColor="accent1" w:themeTint="80"/>
          <w:sz w:val="14"/>
        </w:rPr>
      </w:pPr>
    </w:p>
    <w:p w14:paraId="32004B3C" w14:textId="195C6998" w:rsidR="00AC10DE" w:rsidRPr="00840481" w:rsidRDefault="00F9486E" w:rsidP="00B926BE">
      <w:pPr>
        <w:pStyle w:val="ListParagraph"/>
        <w:numPr>
          <w:ilvl w:val="0"/>
          <w:numId w:val="11"/>
        </w:numPr>
        <w:spacing w:after="120"/>
        <w:rPr>
          <w:rFonts w:cs="Calibri"/>
          <w:b/>
          <w:bCs/>
          <w:color w:val="589ED5" w:themeColor="accent1" w:themeTint="80"/>
        </w:rPr>
      </w:pPr>
      <w:hyperlink r:id="rId28" w:history="1">
        <w:r w:rsidR="00840481" w:rsidRPr="00840481">
          <w:rPr>
            <w:rStyle w:val="Hyperlink"/>
            <w:b/>
            <w:bCs/>
            <w:color w:val="589ED5" w:themeColor="accent1" w:themeTint="80"/>
          </w:rPr>
          <w:t xml:space="preserve">America Walks </w:t>
        </w:r>
        <w:r w:rsidR="00840481">
          <w:rPr>
            <w:rStyle w:val="Hyperlink"/>
            <w:b/>
            <w:bCs/>
            <w:color w:val="589ED5" w:themeColor="accent1" w:themeTint="80"/>
          </w:rPr>
          <w:t>R</w:t>
        </w:r>
        <w:r w:rsidR="00840481" w:rsidRPr="00840481">
          <w:rPr>
            <w:rStyle w:val="Hyperlink"/>
            <w:b/>
            <w:bCs/>
            <w:color w:val="589ED5" w:themeColor="accent1" w:themeTint="80"/>
          </w:rPr>
          <w:t>esource</w:t>
        </w:r>
        <w:r w:rsidR="00840481">
          <w:rPr>
            <w:rStyle w:val="Hyperlink"/>
            <w:b/>
            <w:bCs/>
            <w:color w:val="589ED5" w:themeColor="accent1" w:themeTint="80"/>
          </w:rPr>
          <w:t xml:space="preserve"> P</w:t>
        </w:r>
        <w:r w:rsidR="00840481" w:rsidRPr="00840481">
          <w:rPr>
            <w:rStyle w:val="Hyperlink"/>
            <w:b/>
            <w:bCs/>
            <w:color w:val="589ED5" w:themeColor="accent1" w:themeTint="80"/>
          </w:rPr>
          <w:t>age</w:t>
        </w:r>
      </w:hyperlink>
    </w:p>
    <w:p w14:paraId="5D2E5EDE" w14:textId="1663E80B" w:rsidR="00F872C3" w:rsidRPr="00AC10DE" w:rsidRDefault="00F872C3" w:rsidP="00B926BE">
      <w:pPr>
        <w:pStyle w:val="ListParagraph"/>
        <w:spacing w:after="120"/>
        <w:ind w:left="360"/>
        <w:rPr>
          <w:b/>
        </w:rPr>
      </w:pPr>
      <w:r w:rsidRPr="00F872C3">
        <w:t xml:space="preserve">This America Walks </w:t>
      </w:r>
      <w:r w:rsidR="00840481">
        <w:t xml:space="preserve">resource page includes social and mobility justice resources, </w:t>
      </w:r>
      <w:r w:rsidRPr="00F872C3">
        <w:t xml:space="preserve">policy </w:t>
      </w:r>
      <w:r w:rsidR="00840481">
        <w:t xml:space="preserve">and advocacy processes, </w:t>
      </w:r>
      <w:r w:rsidRPr="00F872C3">
        <w:t xml:space="preserve">and design </w:t>
      </w:r>
      <w:r w:rsidR="00840481">
        <w:t xml:space="preserve">tips to create a more inclusive and </w:t>
      </w:r>
      <w:r w:rsidRPr="00F872C3">
        <w:t>walkable community.</w:t>
      </w:r>
      <w:r w:rsidRPr="00AC10DE">
        <w:rPr>
          <w:b/>
          <w:u w:val="single"/>
        </w:rPr>
        <w:t xml:space="preserve"> </w:t>
      </w:r>
    </w:p>
    <w:p w14:paraId="56FA4263" w14:textId="77777777" w:rsidR="00F872C3" w:rsidRPr="009F0C70" w:rsidRDefault="00F9486E" w:rsidP="002D010C">
      <w:pPr>
        <w:numPr>
          <w:ilvl w:val="0"/>
          <w:numId w:val="11"/>
        </w:numPr>
        <w:spacing w:line="259" w:lineRule="auto"/>
        <w:rPr>
          <w:rFonts w:cs="Calibri"/>
          <w:b/>
          <w:color w:val="589ED5" w:themeColor="accent1" w:themeTint="80"/>
        </w:rPr>
      </w:pPr>
      <w:hyperlink r:id="rId29" w:history="1">
        <w:r w:rsidR="00F872C3" w:rsidRPr="009F0C70">
          <w:rPr>
            <w:rStyle w:val="Hyperlink"/>
            <w:rFonts w:cs="Calibri"/>
            <w:b/>
            <w:color w:val="589ED5" w:themeColor="accent1" w:themeTint="80"/>
          </w:rPr>
          <w:t>The Best Complete Streets Policies of 2018</w:t>
        </w:r>
      </w:hyperlink>
      <w:r w:rsidR="00F872C3" w:rsidRPr="009F0C70">
        <w:rPr>
          <w:rFonts w:cs="Calibri"/>
          <w:b/>
          <w:color w:val="589ED5" w:themeColor="accent1" w:themeTint="80"/>
        </w:rPr>
        <w:t xml:space="preserve"> </w:t>
      </w:r>
    </w:p>
    <w:p w14:paraId="6DE4B95D" w14:textId="4071B783" w:rsidR="002D010C" w:rsidRPr="00F872C3" w:rsidRDefault="00F872C3" w:rsidP="002D010C">
      <w:pPr>
        <w:spacing w:after="120"/>
        <w:ind w:left="360"/>
        <w:rPr>
          <w:rFonts w:cs="Calibri"/>
        </w:rPr>
      </w:pPr>
      <w:r w:rsidRPr="00F872C3">
        <w:rPr>
          <w:rFonts w:cs="Calibri"/>
        </w:rPr>
        <w:t xml:space="preserve">This Smart Growth America </w:t>
      </w:r>
      <w:r w:rsidR="002D010C">
        <w:rPr>
          <w:rFonts w:cs="Calibri"/>
        </w:rPr>
        <w:t xml:space="preserve">resources </w:t>
      </w:r>
      <w:r w:rsidRPr="00F872C3">
        <w:rPr>
          <w:rFonts w:cs="Calibri"/>
        </w:rPr>
        <w:t>provides an overview of the best Complete Streets policies of 2018.</w:t>
      </w:r>
    </w:p>
    <w:p w14:paraId="5F740714" w14:textId="77777777" w:rsidR="00F872C3" w:rsidRPr="009F0C70" w:rsidRDefault="00F9486E" w:rsidP="002D010C">
      <w:pPr>
        <w:numPr>
          <w:ilvl w:val="0"/>
          <w:numId w:val="11"/>
        </w:numPr>
        <w:spacing w:line="259" w:lineRule="auto"/>
        <w:rPr>
          <w:rFonts w:cs="Calibri"/>
          <w:b/>
          <w:color w:val="589ED5" w:themeColor="accent1" w:themeTint="80"/>
        </w:rPr>
      </w:pPr>
      <w:hyperlink r:id="rId30" w:history="1">
        <w:r w:rsidR="00F872C3" w:rsidRPr="009F0C70">
          <w:rPr>
            <w:rStyle w:val="Hyperlink"/>
            <w:rFonts w:cs="Calibri"/>
            <w:b/>
            <w:color w:val="589ED5" w:themeColor="accent1" w:themeTint="80"/>
          </w:rPr>
          <w:t>Walk Friendly Communities – Planning and Policy</w:t>
        </w:r>
      </w:hyperlink>
      <w:r w:rsidR="00F872C3" w:rsidRPr="009F0C70">
        <w:rPr>
          <w:rFonts w:cs="Calibri"/>
          <w:b/>
          <w:color w:val="589ED5" w:themeColor="accent1" w:themeTint="80"/>
        </w:rPr>
        <w:t xml:space="preserve"> </w:t>
      </w:r>
    </w:p>
    <w:p w14:paraId="0140745E" w14:textId="77777777" w:rsidR="00F872C3" w:rsidRPr="00F872C3" w:rsidRDefault="00F872C3" w:rsidP="002D010C">
      <w:pPr>
        <w:ind w:left="360"/>
        <w:rPr>
          <w:rFonts w:cs="Calibri"/>
        </w:rPr>
      </w:pPr>
      <w:r w:rsidRPr="00F872C3">
        <w:rPr>
          <w:rFonts w:cs="Calibri"/>
        </w:rPr>
        <w:t>This webpage provides resources and examples for pedestrian and bike plans, developing an advisory committee, complete streets, and other policies that support those using non-motorized transportation.</w:t>
      </w:r>
    </w:p>
    <w:p w14:paraId="20BCF56B" w14:textId="77777777" w:rsidR="00F872C3" w:rsidRPr="00F872C3" w:rsidRDefault="00F872C3" w:rsidP="00F872C3"/>
    <w:p w14:paraId="23E3A2E2" w14:textId="5FB80337" w:rsidR="00F872C3" w:rsidRPr="00F872C3" w:rsidRDefault="00F872C3" w:rsidP="00F872C3">
      <w:pPr>
        <w:spacing w:after="120"/>
        <w:rPr>
          <w:rFonts w:cs="Calibri"/>
          <w:b/>
          <w:color w:val="13334C" w:themeColor="text2"/>
          <w:sz w:val="28"/>
        </w:rPr>
      </w:pPr>
      <w:r>
        <w:rPr>
          <w:rFonts w:cs="Calibri"/>
          <w:b/>
          <w:color w:val="13334C" w:themeColor="text2"/>
          <w:sz w:val="28"/>
        </w:rPr>
        <w:t>Other Resources</w:t>
      </w:r>
    </w:p>
    <w:p w14:paraId="3C954FA1" w14:textId="77777777" w:rsidR="00F872C3" w:rsidRPr="009F0C70" w:rsidRDefault="00F9486E" w:rsidP="002D010C">
      <w:pPr>
        <w:numPr>
          <w:ilvl w:val="0"/>
          <w:numId w:val="13"/>
        </w:numPr>
        <w:spacing w:line="259" w:lineRule="auto"/>
        <w:rPr>
          <w:rFonts w:cs="Calibri"/>
          <w:b/>
          <w:color w:val="589ED5" w:themeColor="accent1" w:themeTint="80"/>
        </w:rPr>
      </w:pPr>
      <w:hyperlink r:id="rId31" w:history="1">
        <w:r w:rsidR="00F872C3" w:rsidRPr="009F0C70">
          <w:rPr>
            <w:rStyle w:val="Hyperlink"/>
            <w:rFonts w:cs="Calibri"/>
            <w:b/>
            <w:color w:val="589ED5" w:themeColor="accent1" w:themeTint="80"/>
          </w:rPr>
          <w:t>CDC Community Strategies</w:t>
        </w:r>
      </w:hyperlink>
    </w:p>
    <w:p w14:paraId="471CB0F6" w14:textId="40143AEE" w:rsidR="00F872C3" w:rsidRPr="00F872C3" w:rsidRDefault="00F872C3" w:rsidP="002D010C">
      <w:pPr>
        <w:spacing w:after="120"/>
        <w:ind w:left="360"/>
        <w:rPr>
          <w:rFonts w:cs="Calibri"/>
        </w:rPr>
      </w:pPr>
      <w:r w:rsidRPr="00F872C3">
        <w:rPr>
          <w:rFonts w:cs="Calibri"/>
        </w:rPr>
        <w:t>This webpage provides a variety of resources on increasing physical activity in communities.</w:t>
      </w:r>
    </w:p>
    <w:p w14:paraId="32BDAAE1" w14:textId="77777777" w:rsidR="00F872C3" w:rsidRPr="009F0C70" w:rsidRDefault="00F9486E" w:rsidP="002D010C">
      <w:pPr>
        <w:numPr>
          <w:ilvl w:val="0"/>
          <w:numId w:val="13"/>
        </w:numPr>
        <w:spacing w:line="259" w:lineRule="auto"/>
        <w:rPr>
          <w:rFonts w:cs="Calibri"/>
          <w:b/>
          <w:color w:val="589ED5" w:themeColor="accent1" w:themeTint="80"/>
        </w:rPr>
      </w:pPr>
      <w:hyperlink r:id="rId32" w:history="1">
        <w:r w:rsidR="00F872C3" w:rsidRPr="009F0C70">
          <w:rPr>
            <w:rStyle w:val="Hyperlink"/>
            <w:rFonts w:cs="Calibri"/>
            <w:b/>
            <w:color w:val="589ED5" w:themeColor="accent1" w:themeTint="80"/>
          </w:rPr>
          <w:t>CDC Guide to Strategies to Increase the Consumption of Fruits and Vegetables</w:t>
        </w:r>
      </w:hyperlink>
    </w:p>
    <w:p w14:paraId="57A00871" w14:textId="31514797" w:rsidR="00372003" w:rsidRPr="00F872C3" w:rsidRDefault="00F872C3" w:rsidP="00F872C3">
      <w:pPr>
        <w:ind w:left="360"/>
        <w:rPr>
          <w:rFonts w:cs="Calibri"/>
        </w:rPr>
      </w:pPr>
      <w:r w:rsidRPr="00F872C3">
        <w:rPr>
          <w:rFonts w:cs="Calibri"/>
        </w:rPr>
        <w:t>This guide provides strategies for increasing fruit and vegetable consumption in communities.</w:t>
      </w:r>
    </w:p>
    <w:sectPr w:rsidR="00372003" w:rsidRPr="00F872C3" w:rsidSect="00FA44FB">
      <w:footerReference w:type="default" r:id="rId33"/>
      <w:headerReference w:type="first" r:id="rId34"/>
      <w:footerReference w:type="first" r:id="rId35"/>
      <w:pgSz w:w="12240" w:h="15840"/>
      <w:pgMar w:top="1152" w:right="1152" w:bottom="1080" w:left="1152" w:header="720" w:footer="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39375" w14:textId="77777777" w:rsidR="00657FE5" w:rsidRDefault="00657FE5" w:rsidP="00372003">
      <w:r>
        <w:separator/>
      </w:r>
    </w:p>
  </w:endnote>
  <w:endnote w:type="continuationSeparator" w:id="0">
    <w:p w14:paraId="7EBF0CBB" w14:textId="77777777" w:rsidR="00657FE5" w:rsidRDefault="00657FE5" w:rsidP="00372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375940"/>
      <w:docPartObj>
        <w:docPartGallery w:val="Page Numbers (Bottom of Page)"/>
        <w:docPartUnique/>
      </w:docPartObj>
    </w:sdtPr>
    <w:sdtEndPr>
      <w:rPr>
        <w:b/>
        <w:noProof/>
        <w:color w:val="1B486C" w:themeColor="text2" w:themeTint="E6"/>
        <w:sz w:val="20"/>
      </w:rPr>
    </w:sdtEndPr>
    <w:sdtContent>
      <w:p w14:paraId="197AF68B" w14:textId="77777777" w:rsidR="000C29C1" w:rsidRDefault="00A91934" w:rsidP="009A40DA">
        <w:pPr>
          <w:pStyle w:val="Footer"/>
          <w:jc w:val="center"/>
          <w:rPr>
            <w:b/>
            <w:noProof/>
            <w:color w:val="1B486C" w:themeColor="text2" w:themeTint="E6"/>
            <w:sz w:val="20"/>
            <w:szCs w:val="20"/>
          </w:rPr>
        </w:pPr>
        <w:r w:rsidRPr="00447157">
          <w:rPr>
            <w:b/>
            <w:color w:val="1B486C" w:themeColor="text2" w:themeTint="E6"/>
            <w:sz w:val="20"/>
          </w:rPr>
          <w:fldChar w:fldCharType="begin"/>
        </w:r>
        <w:r w:rsidRPr="00447157">
          <w:rPr>
            <w:b/>
            <w:color w:val="1B486C" w:themeColor="text2" w:themeTint="E6"/>
            <w:sz w:val="20"/>
          </w:rPr>
          <w:instrText xml:space="preserve"> PAGE   \* MERGEFORMAT </w:instrText>
        </w:r>
        <w:r w:rsidRPr="00447157">
          <w:rPr>
            <w:b/>
            <w:color w:val="1B486C" w:themeColor="text2" w:themeTint="E6"/>
            <w:sz w:val="20"/>
          </w:rPr>
          <w:fldChar w:fldCharType="separate"/>
        </w:r>
        <w:r w:rsidR="00D2719C">
          <w:rPr>
            <w:b/>
            <w:noProof/>
            <w:color w:val="1B486C" w:themeColor="text2" w:themeTint="E6"/>
            <w:sz w:val="20"/>
          </w:rPr>
          <w:t>5</w:t>
        </w:r>
        <w:r w:rsidRPr="00447157">
          <w:rPr>
            <w:b/>
            <w:noProof/>
            <w:color w:val="1B486C" w:themeColor="text2" w:themeTint="E6"/>
            <w:sz w:val="20"/>
          </w:rPr>
          <w:fldChar w:fldCharType="end"/>
        </w:r>
        <w:r w:rsidRPr="00447157">
          <w:rPr>
            <w:b/>
            <w:noProof/>
            <w:color w:val="1B486C" w:themeColor="text2" w:themeTint="E6"/>
            <w:sz w:val="20"/>
          </w:rPr>
          <w:t xml:space="preserve"> </w:t>
        </w:r>
        <w:r w:rsidR="00F22541" w:rsidRPr="00447157">
          <w:rPr>
            <w:rFonts w:cs="Calibri"/>
            <w:b/>
            <w:noProof/>
            <w:color w:val="1B486C" w:themeColor="text2" w:themeTint="E6"/>
            <w:sz w:val="20"/>
          </w:rPr>
          <w:t>—</w:t>
        </w:r>
        <w:r w:rsidRPr="00447157">
          <w:rPr>
            <w:b/>
            <w:noProof/>
            <w:color w:val="1B486C" w:themeColor="text2" w:themeTint="E6"/>
            <w:sz w:val="20"/>
          </w:rPr>
          <w:t xml:space="preserve"> </w:t>
        </w:r>
        <w:r w:rsidR="009A40DA" w:rsidRPr="009A40DA">
          <w:rPr>
            <w:b/>
            <w:noProof/>
            <w:color w:val="1B486C" w:themeColor="text2" w:themeTint="E6"/>
            <w:sz w:val="20"/>
            <w:szCs w:val="20"/>
          </w:rPr>
          <w:t>Community PSE Exploration Process Guide</w:t>
        </w:r>
      </w:p>
      <w:p w14:paraId="2FA1C93C" w14:textId="1503AADB" w:rsidR="00A91934" w:rsidRPr="00447157" w:rsidRDefault="000C29C1" w:rsidP="009A40DA">
        <w:pPr>
          <w:pStyle w:val="Footer"/>
          <w:jc w:val="center"/>
          <w:rPr>
            <w:b/>
            <w:color w:val="1B486C" w:themeColor="text2" w:themeTint="E6"/>
            <w:sz w:val="20"/>
          </w:rPr>
        </w:pPr>
        <w:r>
          <w:rPr>
            <w:b/>
            <w:noProof/>
            <w:color w:val="1B486C" w:themeColor="text2" w:themeTint="E6"/>
            <w:sz w:val="20"/>
            <w:szCs w:val="20"/>
          </w:rPr>
          <w:t>Overview</w:t>
        </w:r>
        <w:r w:rsidR="007668D3">
          <w:rPr>
            <w:b/>
            <w:noProof/>
            <w:color w:val="1B486C" w:themeColor="text2" w:themeTint="E6"/>
            <w:sz w:val="20"/>
            <w:szCs w:val="20"/>
          </w:rPr>
          <w:t xml:space="preserve"> &amp; Resources</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614238"/>
      <w:docPartObj>
        <w:docPartGallery w:val="Page Numbers (Bottom of Page)"/>
        <w:docPartUnique/>
      </w:docPartObj>
    </w:sdtPr>
    <w:sdtEndPr>
      <w:rPr>
        <w:b/>
        <w:noProof/>
        <w:color w:val="1B486C" w:themeColor="text2" w:themeTint="E6"/>
        <w:sz w:val="20"/>
      </w:rPr>
    </w:sdtEndPr>
    <w:sdtContent>
      <w:p w14:paraId="4FEB81A5" w14:textId="05FFDB83" w:rsidR="00B466E3" w:rsidRDefault="000E1E18" w:rsidP="00B466E3">
        <w:pPr>
          <w:pStyle w:val="Footer"/>
          <w:jc w:val="center"/>
          <w:rPr>
            <w:b/>
            <w:noProof/>
            <w:color w:val="1B486C" w:themeColor="text2" w:themeTint="E6"/>
            <w:sz w:val="20"/>
            <w:szCs w:val="20"/>
          </w:rPr>
        </w:pPr>
        <w:r w:rsidRPr="009A40DA">
          <w:rPr>
            <w:b/>
            <w:color w:val="1B486C" w:themeColor="text2" w:themeTint="E6"/>
            <w:sz w:val="20"/>
          </w:rPr>
          <w:fldChar w:fldCharType="begin"/>
        </w:r>
        <w:r w:rsidRPr="009A40DA">
          <w:rPr>
            <w:b/>
            <w:color w:val="1B486C" w:themeColor="text2" w:themeTint="E6"/>
            <w:sz w:val="20"/>
          </w:rPr>
          <w:instrText xml:space="preserve"> PAGE   \* MERGEFORMAT </w:instrText>
        </w:r>
        <w:r w:rsidRPr="009A40DA">
          <w:rPr>
            <w:b/>
            <w:color w:val="1B486C" w:themeColor="text2" w:themeTint="E6"/>
            <w:sz w:val="20"/>
          </w:rPr>
          <w:fldChar w:fldCharType="separate"/>
        </w:r>
        <w:r w:rsidR="00D2719C" w:rsidRPr="009A40DA">
          <w:rPr>
            <w:b/>
            <w:noProof/>
            <w:color w:val="1B486C" w:themeColor="text2" w:themeTint="E6"/>
            <w:sz w:val="20"/>
          </w:rPr>
          <w:t>1</w:t>
        </w:r>
        <w:r w:rsidRPr="009A40DA">
          <w:rPr>
            <w:b/>
            <w:noProof/>
            <w:color w:val="1B486C" w:themeColor="text2" w:themeTint="E6"/>
            <w:sz w:val="20"/>
          </w:rPr>
          <w:fldChar w:fldCharType="end"/>
        </w:r>
        <w:r w:rsidR="009A40DA" w:rsidRPr="009A40DA">
          <w:rPr>
            <w:b/>
            <w:noProof/>
            <w:color w:val="1B486C" w:themeColor="text2" w:themeTint="E6"/>
            <w:sz w:val="20"/>
          </w:rPr>
          <w:t xml:space="preserve"> – </w:t>
        </w:r>
        <w:r w:rsidR="00F52B5C" w:rsidRPr="009A40DA">
          <w:rPr>
            <w:b/>
            <w:noProof/>
            <w:color w:val="1B486C" w:themeColor="text2" w:themeTint="E6"/>
            <w:sz w:val="20"/>
            <w:szCs w:val="20"/>
          </w:rPr>
          <w:t xml:space="preserve">Community </w:t>
        </w:r>
        <w:r w:rsidR="00375F45" w:rsidRPr="009A40DA">
          <w:rPr>
            <w:b/>
            <w:noProof/>
            <w:color w:val="1B486C" w:themeColor="text2" w:themeTint="E6"/>
            <w:sz w:val="20"/>
            <w:szCs w:val="20"/>
          </w:rPr>
          <w:t xml:space="preserve">PSE </w:t>
        </w:r>
        <w:r w:rsidR="00F52B5C" w:rsidRPr="009A40DA">
          <w:rPr>
            <w:b/>
            <w:noProof/>
            <w:color w:val="1B486C" w:themeColor="text2" w:themeTint="E6"/>
            <w:sz w:val="20"/>
            <w:szCs w:val="20"/>
          </w:rPr>
          <w:t>Exploration</w:t>
        </w:r>
        <w:r w:rsidR="00375F45" w:rsidRPr="009A40DA">
          <w:rPr>
            <w:b/>
            <w:noProof/>
            <w:color w:val="1B486C" w:themeColor="text2" w:themeTint="E6"/>
            <w:sz w:val="20"/>
            <w:szCs w:val="20"/>
          </w:rPr>
          <w:t xml:space="preserve"> Process Guide</w:t>
        </w:r>
      </w:p>
      <w:p w14:paraId="0F4B8E79" w14:textId="7D197A4E" w:rsidR="00FA44FB" w:rsidRDefault="000C29C1" w:rsidP="00FA44FB">
        <w:pPr>
          <w:pStyle w:val="Footer"/>
          <w:ind w:right="-594"/>
          <w:jc w:val="center"/>
          <w:rPr>
            <w:b/>
            <w:noProof/>
            <w:color w:val="1B486C" w:themeColor="text2" w:themeTint="E6"/>
            <w:sz w:val="20"/>
            <w:szCs w:val="20"/>
          </w:rPr>
        </w:pPr>
        <w:r>
          <w:rPr>
            <w:b/>
            <w:noProof/>
            <w:color w:val="1B486C" w:themeColor="text2" w:themeTint="E6"/>
            <w:sz w:val="20"/>
            <w:szCs w:val="20"/>
          </w:rPr>
          <w:t>Overview</w:t>
        </w:r>
        <w:r w:rsidR="00885363">
          <w:rPr>
            <w:b/>
            <w:noProof/>
            <w:color w:val="1B486C" w:themeColor="text2" w:themeTint="E6"/>
            <w:sz w:val="20"/>
            <w:szCs w:val="20"/>
          </w:rPr>
          <w:t xml:space="preserve"> &amp; Resources</w:t>
        </w:r>
      </w:p>
      <w:p w14:paraId="278C0D7F" w14:textId="4B2616F5" w:rsidR="00FA44FB" w:rsidRPr="00E37AE2" w:rsidRDefault="00FA44FB" w:rsidP="00FA44FB">
        <w:pPr>
          <w:pStyle w:val="Footer"/>
          <w:ind w:right="-594"/>
          <w:jc w:val="right"/>
          <w:rPr>
            <w:b/>
            <w:i/>
            <w:iCs/>
            <w:color w:val="13334C" w:themeColor="text2"/>
            <w:sz w:val="16"/>
          </w:rPr>
        </w:pPr>
        <w:r w:rsidRPr="00E37AE2">
          <w:rPr>
            <w:i/>
            <w:iCs/>
            <w:noProof/>
            <w:color w:val="13334C" w:themeColor="text2"/>
            <w:sz w:val="16"/>
          </w:rPr>
          <w:t>This institution is an equal opportunity provider.</w:t>
        </w:r>
      </w:p>
      <w:p w14:paraId="4394EAE2" w14:textId="42EE8D0A" w:rsidR="000C29C1" w:rsidRPr="00447157" w:rsidRDefault="000C29C1" w:rsidP="00B466E3">
        <w:pPr>
          <w:pStyle w:val="Footer"/>
          <w:jc w:val="center"/>
          <w:rPr>
            <w:noProof/>
            <w:color w:val="1B486C" w:themeColor="text2" w:themeTint="E6"/>
            <w:sz w:val="18"/>
          </w:rPr>
        </w:pPr>
      </w:p>
      <w:p w14:paraId="1BA2B00C" w14:textId="6E34FB5F" w:rsidR="000E1E18" w:rsidRPr="00447157" w:rsidRDefault="00F9486E" w:rsidP="002F651C">
        <w:pPr>
          <w:pStyle w:val="Footer"/>
          <w:jc w:val="center"/>
          <w:rPr>
            <w:b/>
            <w:color w:val="1B486C" w:themeColor="text2" w:themeTint="E6"/>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7A018" w14:textId="77777777" w:rsidR="00657FE5" w:rsidRDefault="00657FE5" w:rsidP="00372003">
      <w:r>
        <w:separator/>
      </w:r>
    </w:p>
  </w:footnote>
  <w:footnote w:type="continuationSeparator" w:id="0">
    <w:p w14:paraId="4ABE9EAF" w14:textId="77777777" w:rsidR="00657FE5" w:rsidRDefault="00657FE5" w:rsidP="00372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0E362" w14:textId="36D55C8C" w:rsidR="00372003" w:rsidRDefault="00BA49BA">
    <w:pPr>
      <w:pStyle w:val="Header"/>
    </w:pPr>
    <w:r>
      <w:rPr>
        <w:noProof/>
      </w:rPr>
      <w:drawing>
        <wp:anchor distT="0" distB="0" distL="114300" distR="114300" simplePos="0" relativeHeight="251661312" behindDoc="0" locked="0" layoutInCell="1" allowOverlap="1" wp14:anchorId="1C4B98B0" wp14:editId="7D28863B">
          <wp:simplePos x="0" y="0"/>
          <wp:positionH relativeFrom="margin">
            <wp:posOffset>5782038</wp:posOffset>
          </wp:positionH>
          <wp:positionV relativeFrom="topMargin">
            <wp:posOffset>304075</wp:posOffset>
          </wp:positionV>
          <wp:extent cx="780415" cy="487680"/>
          <wp:effectExtent l="0" t="0" r="635"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chigan Fitness Foundation_white.png"/>
                  <pic:cNvPicPr/>
                </pic:nvPicPr>
                <pic:blipFill>
                  <a:blip r:embed="rId1">
                    <a:extLst>
                      <a:ext uri="{28A0092B-C50C-407E-A947-70E740481C1C}">
                        <a14:useLocalDpi xmlns:a14="http://schemas.microsoft.com/office/drawing/2010/main" val="0"/>
                      </a:ext>
                    </a:extLst>
                  </a:blip>
                  <a:stretch>
                    <a:fillRect/>
                  </a:stretch>
                </pic:blipFill>
                <pic:spPr>
                  <a:xfrm>
                    <a:off x="0" y="0"/>
                    <a:ext cx="780415" cy="487680"/>
                  </a:xfrm>
                  <a:prstGeom prst="rect">
                    <a:avLst/>
                  </a:prstGeom>
                </pic:spPr>
              </pic:pic>
            </a:graphicData>
          </a:graphic>
          <wp14:sizeRelH relativeFrom="margin">
            <wp14:pctWidth>0</wp14:pctWidth>
          </wp14:sizeRelH>
          <wp14:sizeRelV relativeFrom="margin">
            <wp14:pctHeight>0</wp14:pctHeight>
          </wp14:sizeRelV>
        </wp:anchor>
      </w:drawing>
    </w:r>
    <w:r w:rsidR="00DD7CB8">
      <w:rPr>
        <w:noProof/>
      </w:rPr>
      <mc:AlternateContent>
        <mc:Choice Requires="wps">
          <w:drawing>
            <wp:anchor distT="0" distB="0" distL="114300" distR="114300" simplePos="0" relativeHeight="251660288" behindDoc="0" locked="0" layoutInCell="1" allowOverlap="1" wp14:anchorId="48AB721C" wp14:editId="29BAC0BB">
              <wp:simplePos x="0" y="0"/>
              <wp:positionH relativeFrom="margin">
                <wp:posOffset>-329293</wp:posOffset>
              </wp:positionH>
              <wp:positionV relativeFrom="paragraph">
                <wp:posOffset>-212271</wp:posOffset>
              </wp:positionV>
              <wp:extent cx="5543550" cy="65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54355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A6E1ED" w14:textId="2C13155B" w:rsidR="00372003" w:rsidRDefault="00BE76EA">
                          <w:pPr>
                            <w:rPr>
                              <w:rFonts w:cs="Calibri"/>
                              <w:b/>
                              <w:color w:val="FFFFFF" w:themeColor="background1"/>
                              <w:sz w:val="36"/>
                            </w:rPr>
                          </w:pPr>
                          <w:r w:rsidRPr="00D2719C">
                            <w:rPr>
                              <w:rFonts w:cs="Calibri"/>
                              <w:b/>
                              <w:color w:val="FFFFFF" w:themeColor="background1"/>
                              <w:sz w:val="36"/>
                            </w:rPr>
                            <w:t>COMM</w:t>
                          </w:r>
                          <w:r w:rsidR="00CC0818" w:rsidRPr="00D2719C">
                            <w:rPr>
                              <w:rFonts w:cs="Calibri"/>
                              <w:b/>
                              <w:color w:val="FFFFFF" w:themeColor="background1"/>
                              <w:sz w:val="36"/>
                            </w:rPr>
                            <w:t>UNITY PSE EXPLORATION</w:t>
                          </w:r>
                          <w:r w:rsidR="00921260">
                            <w:rPr>
                              <w:rFonts w:cs="Calibri"/>
                              <w:b/>
                              <w:color w:val="FFFFFF" w:themeColor="background1"/>
                              <w:sz w:val="36"/>
                            </w:rPr>
                            <w:t xml:space="preserve"> PROCESS GUIDE</w:t>
                          </w:r>
                        </w:p>
                        <w:p w14:paraId="73270F5C" w14:textId="66C91CB9" w:rsidR="0052571D" w:rsidRPr="00D2719C" w:rsidRDefault="0052571D">
                          <w:pPr>
                            <w:rPr>
                              <w:rFonts w:cs="Calibri"/>
                              <w:b/>
                              <w:color w:val="FFFFFF" w:themeColor="background1"/>
                              <w:sz w:val="36"/>
                            </w:rPr>
                          </w:pPr>
                          <w:r>
                            <w:rPr>
                              <w:rFonts w:cs="Calibri"/>
                              <w:b/>
                              <w:color w:val="FFFFFF" w:themeColor="background1"/>
                              <w:sz w:val="36"/>
                            </w:rPr>
                            <w:t>Overview &amp;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B721C" id="_x0000_t202" coordsize="21600,21600" o:spt="202" path="m,l,21600r21600,l21600,xe">
              <v:stroke joinstyle="miter"/>
              <v:path gradientshapeok="t" o:connecttype="rect"/>
            </v:shapetype>
            <v:shape id="Text Box 3" o:spid="_x0000_s1032" type="#_x0000_t202" style="position:absolute;margin-left:-25.95pt;margin-top:-16.7pt;width:436.5pt;height:5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" filled="f" stroked="f" strokeweight=".5pt">
              <v:textbox>
                <w:txbxContent>
                  <w:p w14:paraId="37A6E1ED" w14:textId="2C13155B" w:rsidR="00372003" w:rsidRDefault="00BE76EA">
                    <w:pPr>
                      <w:rPr>
                        <w:rFonts w:cs="Calibri"/>
                        <w:b/>
                        <w:color w:val="FFFFFF" w:themeColor="background1"/>
                        <w:sz w:val="36"/>
                      </w:rPr>
                    </w:pPr>
                    <w:r w:rsidRPr="00D2719C">
                      <w:rPr>
                        <w:rFonts w:cs="Calibri"/>
                        <w:b/>
                        <w:color w:val="FFFFFF" w:themeColor="background1"/>
                        <w:sz w:val="36"/>
                      </w:rPr>
                      <w:t>COMM</w:t>
                    </w:r>
                    <w:r w:rsidR="00CC0818" w:rsidRPr="00D2719C">
                      <w:rPr>
                        <w:rFonts w:cs="Calibri"/>
                        <w:b/>
                        <w:color w:val="FFFFFF" w:themeColor="background1"/>
                        <w:sz w:val="36"/>
                      </w:rPr>
                      <w:t>UNITY PSE EXPLORATION</w:t>
                    </w:r>
                    <w:r w:rsidR="00921260">
                      <w:rPr>
                        <w:rFonts w:cs="Calibri"/>
                        <w:b/>
                        <w:color w:val="FFFFFF" w:themeColor="background1"/>
                        <w:sz w:val="36"/>
                      </w:rPr>
                      <w:t xml:space="preserve"> PROCESS GUIDE</w:t>
                    </w:r>
                  </w:p>
                  <w:p w14:paraId="73270F5C" w14:textId="66C91CB9" w:rsidR="0052571D" w:rsidRPr="00D2719C" w:rsidRDefault="0052571D">
                    <w:pPr>
                      <w:rPr>
                        <w:rFonts w:cs="Calibri"/>
                        <w:b/>
                        <w:color w:val="FFFFFF" w:themeColor="background1"/>
                        <w:sz w:val="36"/>
                      </w:rPr>
                    </w:pPr>
                    <w:r>
                      <w:rPr>
                        <w:rFonts w:cs="Calibri"/>
                        <w:b/>
                        <w:color w:val="FFFFFF" w:themeColor="background1"/>
                        <w:sz w:val="36"/>
                      </w:rPr>
                      <w:t>Overview &amp; Resources</w:t>
                    </w:r>
                  </w:p>
                </w:txbxContent>
              </v:textbox>
              <w10:wrap anchorx="margin"/>
            </v:shape>
          </w:pict>
        </mc:Fallback>
      </mc:AlternateContent>
    </w:r>
    <w:r w:rsidR="00A27552">
      <w:rPr>
        <w:noProof/>
      </w:rPr>
      <mc:AlternateContent>
        <mc:Choice Requires="wps">
          <w:drawing>
            <wp:anchor distT="0" distB="0" distL="114300" distR="114300" simplePos="0" relativeHeight="251659264" behindDoc="0" locked="0" layoutInCell="1" allowOverlap="1" wp14:anchorId="3719EBFF" wp14:editId="7A5ABA68">
              <wp:simplePos x="0" y="0"/>
              <wp:positionH relativeFrom="column">
                <wp:posOffset>-1263783</wp:posOffset>
              </wp:positionH>
              <wp:positionV relativeFrom="paragraph">
                <wp:posOffset>-457200</wp:posOffset>
              </wp:positionV>
              <wp:extent cx="8324850" cy="1160060"/>
              <wp:effectExtent l="0" t="0" r="19050" b="21590"/>
              <wp:wrapNone/>
              <wp:docPr id="2" name="Rectangle 2"/>
              <wp:cNvGraphicFramePr/>
              <a:graphic xmlns:a="http://schemas.openxmlformats.org/drawingml/2006/main">
                <a:graphicData uri="http://schemas.microsoft.com/office/word/2010/wordprocessingShape">
                  <wps:wsp>
                    <wps:cNvSpPr/>
                    <wps:spPr>
                      <a:xfrm>
                        <a:off x="0" y="0"/>
                        <a:ext cx="8324850" cy="1160060"/>
                      </a:xfrm>
                      <a:prstGeom prst="rect">
                        <a:avLst/>
                      </a:prstGeom>
                      <a:solidFill>
                        <a:srgbClr val="13334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90BBD" id="Rectangle 2" o:spid="_x0000_s1026" style="position:absolute;margin-left:-99.5pt;margin-top:-36pt;width:655.5pt;height:9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" fillcolor="#13334c" strokecolor="#091925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5DFC"/>
    <w:multiLevelType w:val="hybridMultilevel"/>
    <w:tmpl w:val="62523D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564471"/>
    <w:multiLevelType w:val="hybridMultilevel"/>
    <w:tmpl w:val="A73EA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A0CE7"/>
    <w:multiLevelType w:val="hybridMultilevel"/>
    <w:tmpl w:val="4F4A3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D1356E"/>
    <w:multiLevelType w:val="hybridMultilevel"/>
    <w:tmpl w:val="EC621E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157511"/>
    <w:multiLevelType w:val="hybridMultilevel"/>
    <w:tmpl w:val="992CD9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4806DB"/>
    <w:multiLevelType w:val="hybridMultilevel"/>
    <w:tmpl w:val="8CEE2D24"/>
    <w:lvl w:ilvl="0" w:tplc="2110D67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73DE7"/>
    <w:multiLevelType w:val="hybridMultilevel"/>
    <w:tmpl w:val="85F0B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596DEF"/>
    <w:multiLevelType w:val="hybridMultilevel"/>
    <w:tmpl w:val="59160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B477EE"/>
    <w:multiLevelType w:val="hybridMultilevel"/>
    <w:tmpl w:val="3986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E71F51"/>
    <w:multiLevelType w:val="hybridMultilevel"/>
    <w:tmpl w:val="0074D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27799"/>
    <w:multiLevelType w:val="hybridMultilevel"/>
    <w:tmpl w:val="F656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1D6443"/>
    <w:multiLevelType w:val="hybridMultilevel"/>
    <w:tmpl w:val="45F8AC9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A53F3F"/>
    <w:multiLevelType w:val="hybridMultilevel"/>
    <w:tmpl w:val="56126BD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06C1119"/>
    <w:multiLevelType w:val="hybridMultilevel"/>
    <w:tmpl w:val="DAD47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0A461B"/>
    <w:multiLevelType w:val="hybridMultilevel"/>
    <w:tmpl w:val="67FCC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381534"/>
    <w:multiLevelType w:val="hybridMultilevel"/>
    <w:tmpl w:val="86CE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DDD506C"/>
    <w:multiLevelType w:val="hybridMultilevel"/>
    <w:tmpl w:val="27FC49E8"/>
    <w:lvl w:ilvl="0" w:tplc="CFC08D6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2F0B32"/>
    <w:multiLevelType w:val="hybridMultilevel"/>
    <w:tmpl w:val="236430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8"/>
  </w:num>
  <w:num w:numId="3">
    <w:abstractNumId w:val="7"/>
  </w:num>
  <w:num w:numId="4">
    <w:abstractNumId w:val="13"/>
  </w:num>
  <w:num w:numId="5">
    <w:abstractNumId w:val="10"/>
  </w:num>
  <w:num w:numId="6">
    <w:abstractNumId w:val="11"/>
  </w:num>
  <w:num w:numId="7">
    <w:abstractNumId w:val="17"/>
  </w:num>
  <w:num w:numId="8">
    <w:abstractNumId w:val="0"/>
  </w:num>
  <w:num w:numId="9">
    <w:abstractNumId w:val="16"/>
  </w:num>
  <w:num w:numId="10">
    <w:abstractNumId w:val="5"/>
  </w:num>
  <w:num w:numId="11">
    <w:abstractNumId w:val="4"/>
  </w:num>
  <w:num w:numId="12">
    <w:abstractNumId w:val="15"/>
  </w:num>
  <w:num w:numId="13">
    <w:abstractNumId w:val="6"/>
  </w:num>
  <w:num w:numId="14">
    <w:abstractNumId w:val="3"/>
  </w:num>
  <w:num w:numId="15">
    <w:abstractNumId w:val="14"/>
  </w:num>
  <w:num w:numId="16">
    <w:abstractNumId w:val="2"/>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003"/>
    <w:rsid w:val="000329E7"/>
    <w:rsid w:val="0005355E"/>
    <w:rsid w:val="00057F38"/>
    <w:rsid w:val="00064870"/>
    <w:rsid w:val="00087E7C"/>
    <w:rsid w:val="00092DFD"/>
    <w:rsid w:val="000A356D"/>
    <w:rsid w:val="000B5BBB"/>
    <w:rsid w:val="000C29C1"/>
    <w:rsid w:val="000E1E18"/>
    <w:rsid w:val="000E3371"/>
    <w:rsid w:val="000E3D64"/>
    <w:rsid w:val="000E4016"/>
    <w:rsid w:val="00101649"/>
    <w:rsid w:val="00102A5B"/>
    <w:rsid w:val="00113BDB"/>
    <w:rsid w:val="001322B2"/>
    <w:rsid w:val="00133599"/>
    <w:rsid w:val="00134389"/>
    <w:rsid w:val="00144455"/>
    <w:rsid w:val="00156A10"/>
    <w:rsid w:val="00165569"/>
    <w:rsid w:val="001A0B93"/>
    <w:rsid w:val="001C2048"/>
    <w:rsid w:val="001C314C"/>
    <w:rsid w:val="001D3FA2"/>
    <w:rsid w:val="001E15DC"/>
    <w:rsid w:val="001E2610"/>
    <w:rsid w:val="001E7766"/>
    <w:rsid w:val="001F4F03"/>
    <w:rsid w:val="00201E80"/>
    <w:rsid w:val="00202025"/>
    <w:rsid w:val="002079C9"/>
    <w:rsid w:val="002571D5"/>
    <w:rsid w:val="002804C8"/>
    <w:rsid w:val="0029432C"/>
    <w:rsid w:val="002A207B"/>
    <w:rsid w:val="002D010C"/>
    <w:rsid w:val="002D3C88"/>
    <w:rsid w:val="002D67BB"/>
    <w:rsid w:val="002F651C"/>
    <w:rsid w:val="003104AB"/>
    <w:rsid w:val="00317E44"/>
    <w:rsid w:val="00331929"/>
    <w:rsid w:val="00356DA7"/>
    <w:rsid w:val="003576F3"/>
    <w:rsid w:val="003608DB"/>
    <w:rsid w:val="00372003"/>
    <w:rsid w:val="00375F45"/>
    <w:rsid w:val="0037688F"/>
    <w:rsid w:val="003A28A8"/>
    <w:rsid w:val="003B72F4"/>
    <w:rsid w:val="003C7975"/>
    <w:rsid w:val="003D7E10"/>
    <w:rsid w:val="00404FFC"/>
    <w:rsid w:val="004112FD"/>
    <w:rsid w:val="0044712E"/>
    <w:rsid w:val="00447157"/>
    <w:rsid w:val="00465966"/>
    <w:rsid w:val="00480FD0"/>
    <w:rsid w:val="00496108"/>
    <w:rsid w:val="004A321F"/>
    <w:rsid w:val="004A42DF"/>
    <w:rsid w:val="004B7E36"/>
    <w:rsid w:val="004C12F9"/>
    <w:rsid w:val="004D0DC1"/>
    <w:rsid w:val="004E546E"/>
    <w:rsid w:val="0050195C"/>
    <w:rsid w:val="0051320E"/>
    <w:rsid w:val="0052571D"/>
    <w:rsid w:val="00527557"/>
    <w:rsid w:val="00550102"/>
    <w:rsid w:val="00557F0E"/>
    <w:rsid w:val="00557FBE"/>
    <w:rsid w:val="00577D72"/>
    <w:rsid w:val="005816C2"/>
    <w:rsid w:val="00585BF1"/>
    <w:rsid w:val="005D64D3"/>
    <w:rsid w:val="005D6859"/>
    <w:rsid w:val="005D6920"/>
    <w:rsid w:val="005D6E93"/>
    <w:rsid w:val="005F142E"/>
    <w:rsid w:val="00604989"/>
    <w:rsid w:val="00611BDA"/>
    <w:rsid w:val="006371DC"/>
    <w:rsid w:val="00657FE5"/>
    <w:rsid w:val="00664F13"/>
    <w:rsid w:val="00682E9B"/>
    <w:rsid w:val="006B6689"/>
    <w:rsid w:val="006D63B7"/>
    <w:rsid w:val="006E45C3"/>
    <w:rsid w:val="006E47C8"/>
    <w:rsid w:val="006E65BF"/>
    <w:rsid w:val="006E6711"/>
    <w:rsid w:val="00703F82"/>
    <w:rsid w:val="00705EC5"/>
    <w:rsid w:val="00716702"/>
    <w:rsid w:val="00717A8F"/>
    <w:rsid w:val="00720CCA"/>
    <w:rsid w:val="0074108E"/>
    <w:rsid w:val="00753D43"/>
    <w:rsid w:val="0075671D"/>
    <w:rsid w:val="007668D3"/>
    <w:rsid w:val="0078749F"/>
    <w:rsid w:val="00791D67"/>
    <w:rsid w:val="007B6343"/>
    <w:rsid w:val="007B72D8"/>
    <w:rsid w:val="007E24BD"/>
    <w:rsid w:val="007E500E"/>
    <w:rsid w:val="00800573"/>
    <w:rsid w:val="00802763"/>
    <w:rsid w:val="00802948"/>
    <w:rsid w:val="00803C22"/>
    <w:rsid w:val="00810C21"/>
    <w:rsid w:val="0081151A"/>
    <w:rsid w:val="008169B8"/>
    <w:rsid w:val="00840481"/>
    <w:rsid w:val="008504D0"/>
    <w:rsid w:val="00854D97"/>
    <w:rsid w:val="008764E4"/>
    <w:rsid w:val="00885363"/>
    <w:rsid w:val="008A3968"/>
    <w:rsid w:val="008C423E"/>
    <w:rsid w:val="008D4AA4"/>
    <w:rsid w:val="008E336C"/>
    <w:rsid w:val="008F5DCE"/>
    <w:rsid w:val="00907A3D"/>
    <w:rsid w:val="00921260"/>
    <w:rsid w:val="009220FF"/>
    <w:rsid w:val="00931056"/>
    <w:rsid w:val="009424A7"/>
    <w:rsid w:val="00946E3D"/>
    <w:rsid w:val="00964017"/>
    <w:rsid w:val="00981F9E"/>
    <w:rsid w:val="00990576"/>
    <w:rsid w:val="009A40DA"/>
    <w:rsid w:val="009B1F7E"/>
    <w:rsid w:val="009B3280"/>
    <w:rsid w:val="009B5358"/>
    <w:rsid w:val="009B5699"/>
    <w:rsid w:val="009D6D4B"/>
    <w:rsid w:val="009E298C"/>
    <w:rsid w:val="009F0C70"/>
    <w:rsid w:val="009F1FA1"/>
    <w:rsid w:val="009F6324"/>
    <w:rsid w:val="00A035D9"/>
    <w:rsid w:val="00A16D73"/>
    <w:rsid w:val="00A213CE"/>
    <w:rsid w:val="00A27552"/>
    <w:rsid w:val="00A32B3D"/>
    <w:rsid w:val="00A36868"/>
    <w:rsid w:val="00A66612"/>
    <w:rsid w:val="00A7667D"/>
    <w:rsid w:val="00A80230"/>
    <w:rsid w:val="00A91934"/>
    <w:rsid w:val="00A92E02"/>
    <w:rsid w:val="00A97C93"/>
    <w:rsid w:val="00AA2906"/>
    <w:rsid w:val="00AA43D8"/>
    <w:rsid w:val="00AA4B0C"/>
    <w:rsid w:val="00AB4EFE"/>
    <w:rsid w:val="00AB7E13"/>
    <w:rsid w:val="00AC10DE"/>
    <w:rsid w:val="00AD0EEE"/>
    <w:rsid w:val="00AD5076"/>
    <w:rsid w:val="00AE23FB"/>
    <w:rsid w:val="00B14AB9"/>
    <w:rsid w:val="00B466E3"/>
    <w:rsid w:val="00B71E1E"/>
    <w:rsid w:val="00B81A8D"/>
    <w:rsid w:val="00B82203"/>
    <w:rsid w:val="00B926BE"/>
    <w:rsid w:val="00BA49BA"/>
    <w:rsid w:val="00BB29E1"/>
    <w:rsid w:val="00BD5F15"/>
    <w:rsid w:val="00BE76EA"/>
    <w:rsid w:val="00BF142C"/>
    <w:rsid w:val="00C04FD3"/>
    <w:rsid w:val="00C2349C"/>
    <w:rsid w:val="00C30078"/>
    <w:rsid w:val="00C41F0D"/>
    <w:rsid w:val="00C4589C"/>
    <w:rsid w:val="00C6321B"/>
    <w:rsid w:val="00C66FE0"/>
    <w:rsid w:val="00C743BD"/>
    <w:rsid w:val="00C83A00"/>
    <w:rsid w:val="00C912CF"/>
    <w:rsid w:val="00CB5DF7"/>
    <w:rsid w:val="00CC0818"/>
    <w:rsid w:val="00CC4D0C"/>
    <w:rsid w:val="00CE317E"/>
    <w:rsid w:val="00CE500D"/>
    <w:rsid w:val="00D05A5F"/>
    <w:rsid w:val="00D05B7F"/>
    <w:rsid w:val="00D2719C"/>
    <w:rsid w:val="00D357AE"/>
    <w:rsid w:val="00D67B44"/>
    <w:rsid w:val="00D71311"/>
    <w:rsid w:val="00D9761E"/>
    <w:rsid w:val="00DD06EC"/>
    <w:rsid w:val="00DD4701"/>
    <w:rsid w:val="00DD7CB8"/>
    <w:rsid w:val="00DE1B8E"/>
    <w:rsid w:val="00DF479C"/>
    <w:rsid w:val="00DF6DD1"/>
    <w:rsid w:val="00E0011B"/>
    <w:rsid w:val="00E00ACB"/>
    <w:rsid w:val="00E36ABB"/>
    <w:rsid w:val="00E47CAB"/>
    <w:rsid w:val="00E62C67"/>
    <w:rsid w:val="00E840C6"/>
    <w:rsid w:val="00E8463A"/>
    <w:rsid w:val="00F13432"/>
    <w:rsid w:val="00F22541"/>
    <w:rsid w:val="00F2348C"/>
    <w:rsid w:val="00F25D06"/>
    <w:rsid w:val="00F30FCB"/>
    <w:rsid w:val="00F40FCE"/>
    <w:rsid w:val="00F52B5C"/>
    <w:rsid w:val="00F614A0"/>
    <w:rsid w:val="00F805B6"/>
    <w:rsid w:val="00F82FA2"/>
    <w:rsid w:val="00F857F3"/>
    <w:rsid w:val="00F872C3"/>
    <w:rsid w:val="00F90374"/>
    <w:rsid w:val="00F92974"/>
    <w:rsid w:val="00F9486E"/>
    <w:rsid w:val="00F95433"/>
    <w:rsid w:val="00FA44FB"/>
    <w:rsid w:val="00FB617B"/>
    <w:rsid w:val="00FE56D2"/>
    <w:rsid w:val="00FF6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84B61"/>
  <w15:chartTrackingRefBased/>
  <w15:docId w15:val="{E80B0226-7F81-4F45-B6F9-4DAB52F9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C67"/>
  </w:style>
  <w:style w:type="paragraph" w:styleId="Heading1">
    <w:name w:val="heading 1"/>
    <w:basedOn w:val="Normal"/>
    <w:next w:val="Normal"/>
    <w:link w:val="Heading1Char"/>
    <w:uiPriority w:val="9"/>
    <w:qFormat/>
    <w:rsid w:val="00102A5B"/>
    <w:pPr>
      <w:keepNext/>
      <w:keepLines/>
      <w:spacing w:before="240" w:after="160" w:line="259" w:lineRule="auto"/>
      <w:outlineLvl w:val="0"/>
    </w:pPr>
    <w:rPr>
      <w:rFonts w:asciiTheme="majorHAnsi" w:eastAsiaTheme="majorEastAsia" w:hAnsiTheme="majorHAnsi" w:cstheme="majorBidi"/>
      <w:color w:val="091926" w:themeColor="accent1" w:themeShade="80"/>
      <w:sz w:val="32"/>
      <w:szCs w:val="32"/>
    </w:rPr>
  </w:style>
  <w:style w:type="paragraph" w:styleId="Heading2">
    <w:name w:val="heading 2"/>
    <w:basedOn w:val="Normal"/>
    <w:next w:val="Normal"/>
    <w:link w:val="Heading2Char"/>
    <w:uiPriority w:val="9"/>
    <w:semiHidden/>
    <w:unhideWhenUsed/>
    <w:qFormat/>
    <w:rsid w:val="003608DB"/>
    <w:pPr>
      <w:keepNext/>
      <w:keepLines/>
      <w:spacing w:before="40"/>
      <w:outlineLvl w:val="1"/>
    </w:pPr>
    <w:rPr>
      <w:rFonts w:asciiTheme="majorHAnsi" w:eastAsiaTheme="majorEastAsia" w:hAnsiTheme="majorHAnsi" w:cstheme="majorBidi"/>
      <w:color w:val="0E2638" w:themeColor="accent1" w:themeShade="BF"/>
      <w:sz w:val="26"/>
      <w:szCs w:val="26"/>
    </w:rPr>
  </w:style>
  <w:style w:type="paragraph" w:styleId="Heading4">
    <w:name w:val="heading 4"/>
    <w:basedOn w:val="Normal"/>
    <w:next w:val="Normal"/>
    <w:link w:val="Heading4Char"/>
    <w:uiPriority w:val="9"/>
    <w:semiHidden/>
    <w:unhideWhenUsed/>
    <w:qFormat/>
    <w:rsid w:val="00E62C67"/>
    <w:pPr>
      <w:keepNext/>
      <w:keepLines/>
      <w:spacing w:before="40"/>
      <w:outlineLvl w:val="3"/>
    </w:pPr>
    <w:rPr>
      <w:rFonts w:asciiTheme="majorHAnsi" w:eastAsiaTheme="majorEastAsia" w:hAnsiTheme="majorHAnsi" w:cstheme="majorBidi"/>
      <w:i/>
      <w:iCs/>
      <w:color w:val="0E2638" w:themeColor="accent1" w:themeShade="BF"/>
    </w:rPr>
  </w:style>
  <w:style w:type="paragraph" w:styleId="Heading5">
    <w:name w:val="heading 5"/>
    <w:basedOn w:val="Normal"/>
    <w:link w:val="Heading5Char"/>
    <w:uiPriority w:val="9"/>
    <w:qFormat/>
    <w:rsid w:val="00E62C67"/>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E62C67"/>
    <w:rPr>
      <w:rFonts w:asciiTheme="majorHAnsi" w:eastAsiaTheme="majorEastAsia" w:hAnsiTheme="majorHAnsi" w:cstheme="majorBidi"/>
      <w:i/>
      <w:iCs/>
      <w:color w:val="0E2638" w:themeColor="accent1" w:themeShade="BF"/>
    </w:rPr>
  </w:style>
  <w:style w:type="character" w:customStyle="1" w:styleId="Heading5Char">
    <w:name w:val="Heading 5 Char"/>
    <w:basedOn w:val="DefaultParagraphFont"/>
    <w:link w:val="Heading5"/>
    <w:uiPriority w:val="9"/>
    <w:rsid w:val="00E62C67"/>
    <w:rPr>
      <w:rFonts w:ascii="Times New Roman" w:eastAsia="Times New Roman" w:hAnsi="Times New Roman" w:cs="Times New Roman"/>
      <w:b/>
      <w:bCs/>
      <w:sz w:val="20"/>
      <w:szCs w:val="20"/>
    </w:rPr>
  </w:style>
  <w:style w:type="character" w:styleId="Strong">
    <w:name w:val="Strong"/>
    <w:basedOn w:val="DefaultParagraphFont"/>
    <w:uiPriority w:val="22"/>
    <w:qFormat/>
    <w:rsid w:val="00E62C67"/>
    <w:rPr>
      <w:b/>
      <w:bCs/>
    </w:rPr>
  </w:style>
  <w:style w:type="character" w:styleId="Emphasis">
    <w:name w:val="Emphasis"/>
    <w:basedOn w:val="DefaultParagraphFont"/>
    <w:uiPriority w:val="20"/>
    <w:qFormat/>
    <w:rsid w:val="00E62C67"/>
    <w:rPr>
      <w:i/>
      <w:iCs/>
    </w:rPr>
  </w:style>
  <w:style w:type="paragraph" w:styleId="ListParagraph">
    <w:name w:val="List Paragraph"/>
    <w:basedOn w:val="Normal"/>
    <w:uiPriority w:val="34"/>
    <w:qFormat/>
    <w:rsid w:val="00E62C67"/>
    <w:pPr>
      <w:ind w:left="720"/>
      <w:contextualSpacing/>
    </w:pPr>
  </w:style>
  <w:style w:type="paragraph" w:styleId="Header">
    <w:name w:val="header"/>
    <w:basedOn w:val="Normal"/>
    <w:link w:val="HeaderChar"/>
    <w:uiPriority w:val="99"/>
    <w:unhideWhenUsed/>
    <w:rsid w:val="00372003"/>
    <w:pPr>
      <w:tabs>
        <w:tab w:val="center" w:pos="4680"/>
        <w:tab w:val="right" w:pos="9360"/>
      </w:tabs>
    </w:pPr>
  </w:style>
  <w:style w:type="character" w:customStyle="1" w:styleId="HeaderChar">
    <w:name w:val="Header Char"/>
    <w:basedOn w:val="DefaultParagraphFont"/>
    <w:link w:val="Header"/>
    <w:uiPriority w:val="99"/>
    <w:rsid w:val="00372003"/>
  </w:style>
  <w:style w:type="paragraph" w:styleId="Footer">
    <w:name w:val="footer"/>
    <w:basedOn w:val="Normal"/>
    <w:link w:val="FooterChar"/>
    <w:uiPriority w:val="99"/>
    <w:unhideWhenUsed/>
    <w:rsid w:val="00372003"/>
    <w:pPr>
      <w:tabs>
        <w:tab w:val="center" w:pos="4680"/>
        <w:tab w:val="right" w:pos="9360"/>
      </w:tabs>
    </w:pPr>
  </w:style>
  <w:style w:type="character" w:customStyle="1" w:styleId="FooterChar">
    <w:name w:val="Footer Char"/>
    <w:basedOn w:val="DefaultParagraphFont"/>
    <w:link w:val="Footer"/>
    <w:uiPriority w:val="99"/>
    <w:rsid w:val="00372003"/>
  </w:style>
  <w:style w:type="character" w:customStyle="1" w:styleId="Heading1Char">
    <w:name w:val="Heading 1 Char"/>
    <w:basedOn w:val="DefaultParagraphFont"/>
    <w:link w:val="Heading1"/>
    <w:uiPriority w:val="9"/>
    <w:rsid w:val="00102A5B"/>
    <w:rPr>
      <w:rFonts w:asciiTheme="majorHAnsi" w:eastAsiaTheme="majorEastAsia" w:hAnsiTheme="majorHAnsi" w:cstheme="majorBidi"/>
      <w:color w:val="091926" w:themeColor="accent1" w:themeShade="80"/>
      <w:sz w:val="32"/>
      <w:szCs w:val="32"/>
    </w:rPr>
  </w:style>
  <w:style w:type="character" w:customStyle="1" w:styleId="Heading2Char">
    <w:name w:val="Heading 2 Char"/>
    <w:basedOn w:val="DefaultParagraphFont"/>
    <w:link w:val="Heading2"/>
    <w:uiPriority w:val="9"/>
    <w:semiHidden/>
    <w:rsid w:val="003608DB"/>
    <w:rPr>
      <w:rFonts w:asciiTheme="majorHAnsi" w:eastAsiaTheme="majorEastAsia" w:hAnsiTheme="majorHAnsi" w:cstheme="majorBidi"/>
      <w:color w:val="0E2638" w:themeColor="accent1" w:themeShade="BF"/>
      <w:sz w:val="26"/>
      <w:szCs w:val="26"/>
    </w:rPr>
  </w:style>
  <w:style w:type="character" w:styleId="Hyperlink">
    <w:name w:val="Hyperlink"/>
    <w:basedOn w:val="DefaultParagraphFont"/>
    <w:uiPriority w:val="99"/>
    <w:unhideWhenUsed/>
    <w:rsid w:val="003608DB"/>
    <w:rPr>
      <w:color w:val="091926" w:themeColor="accent1" w:themeShade="80"/>
      <w:u w:val="single"/>
    </w:rPr>
  </w:style>
  <w:style w:type="character" w:styleId="CommentReference">
    <w:name w:val="annotation reference"/>
    <w:basedOn w:val="DefaultParagraphFont"/>
    <w:uiPriority w:val="99"/>
    <w:semiHidden/>
    <w:unhideWhenUsed/>
    <w:rsid w:val="00317E44"/>
    <w:rPr>
      <w:sz w:val="16"/>
      <w:szCs w:val="16"/>
    </w:rPr>
  </w:style>
  <w:style w:type="paragraph" w:styleId="CommentText">
    <w:name w:val="annotation text"/>
    <w:basedOn w:val="Normal"/>
    <w:link w:val="CommentTextChar"/>
    <w:uiPriority w:val="99"/>
    <w:semiHidden/>
    <w:unhideWhenUsed/>
    <w:rsid w:val="00317E44"/>
    <w:rPr>
      <w:sz w:val="20"/>
      <w:szCs w:val="20"/>
    </w:rPr>
  </w:style>
  <w:style w:type="character" w:customStyle="1" w:styleId="CommentTextChar">
    <w:name w:val="Comment Text Char"/>
    <w:basedOn w:val="DefaultParagraphFont"/>
    <w:link w:val="CommentText"/>
    <w:uiPriority w:val="99"/>
    <w:semiHidden/>
    <w:rsid w:val="00317E44"/>
    <w:rPr>
      <w:sz w:val="20"/>
      <w:szCs w:val="20"/>
    </w:rPr>
  </w:style>
  <w:style w:type="paragraph" w:styleId="CommentSubject">
    <w:name w:val="annotation subject"/>
    <w:basedOn w:val="CommentText"/>
    <w:next w:val="CommentText"/>
    <w:link w:val="CommentSubjectChar"/>
    <w:uiPriority w:val="99"/>
    <w:semiHidden/>
    <w:unhideWhenUsed/>
    <w:rsid w:val="00317E44"/>
    <w:rPr>
      <w:b/>
      <w:bCs/>
    </w:rPr>
  </w:style>
  <w:style w:type="character" w:customStyle="1" w:styleId="CommentSubjectChar">
    <w:name w:val="Comment Subject Char"/>
    <w:basedOn w:val="CommentTextChar"/>
    <w:link w:val="CommentSubject"/>
    <w:uiPriority w:val="99"/>
    <w:semiHidden/>
    <w:rsid w:val="00317E44"/>
    <w:rPr>
      <w:b/>
      <w:bCs/>
      <w:sz w:val="20"/>
      <w:szCs w:val="20"/>
    </w:rPr>
  </w:style>
  <w:style w:type="paragraph" w:styleId="BalloonText">
    <w:name w:val="Balloon Text"/>
    <w:basedOn w:val="Normal"/>
    <w:link w:val="BalloonTextChar"/>
    <w:uiPriority w:val="99"/>
    <w:semiHidden/>
    <w:unhideWhenUsed/>
    <w:rsid w:val="00317E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E44"/>
    <w:rPr>
      <w:rFonts w:ascii="Segoe UI" w:hAnsi="Segoe UI" w:cs="Segoe UI"/>
      <w:sz w:val="18"/>
      <w:szCs w:val="18"/>
    </w:rPr>
  </w:style>
  <w:style w:type="character" w:styleId="FollowedHyperlink">
    <w:name w:val="FollowedHyperlink"/>
    <w:basedOn w:val="DefaultParagraphFont"/>
    <w:uiPriority w:val="99"/>
    <w:semiHidden/>
    <w:unhideWhenUsed/>
    <w:rsid w:val="00703F82"/>
    <w:rPr>
      <w:color w:val="098D9A" w:themeColor="followedHyperlink"/>
      <w:u w:val="single"/>
    </w:rPr>
  </w:style>
  <w:style w:type="character" w:styleId="UnresolvedMention">
    <w:name w:val="Unresolved Mention"/>
    <w:basedOn w:val="DefaultParagraphFont"/>
    <w:uiPriority w:val="99"/>
    <w:semiHidden/>
    <w:unhideWhenUsed/>
    <w:rsid w:val="00840481"/>
    <w:rPr>
      <w:color w:val="605E5C"/>
      <w:shd w:val="clear" w:color="auto" w:fill="E1DFDD"/>
    </w:rPr>
  </w:style>
  <w:style w:type="paragraph" w:styleId="Revision">
    <w:name w:val="Revision"/>
    <w:hidden/>
    <w:uiPriority w:val="99"/>
    <w:semiHidden/>
    <w:rsid w:val="004A4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tb.ku.edu/en" TargetMode="External"/><Relationship Id="rId18" Type="http://schemas.openxmlformats.org/officeDocument/2006/relationships/hyperlink" Target="https://www.countyhealthrankings.org/" TargetMode="External"/><Relationship Id="rId26" Type="http://schemas.openxmlformats.org/officeDocument/2006/relationships/hyperlink" Target="https://healthyeatingresearch.org/" TargetMode="External"/><Relationship Id="rId21" Type="http://schemas.openxmlformats.org/officeDocument/2006/relationships/hyperlink" Target="https://www.changelabsolutions.org/"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aarp.org/livable-communities/getting-around/info-2014/aarp-walk-audit-tool-kit.html" TargetMode="External"/><Relationship Id="rId17" Type="http://schemas.openxmlformats.org/officeDocument/2006/relationships/hyperlink" Target="https://www.eatsmartmovemorenc.com/wp-content/uploads/2019/08/North_Carolina_Guide_to_Incorporating_Health_Considerations.pdf" TargetMode="External"/><Relationship Id="rId25" Type="http://schemas.openxmlformats.org/officeDocument/2006/relationships/hyperlink" Target="https://activelivingresearch.org/"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tb.ku.edu/en/table-of-contents/assessment/assessing-community-needs-and-resources/identify-community-assets/main" TargetMode="External"/><Relationship Id="rId20" Type="http://schemas.openxmlformats.org/officeDocument/2006/relationships/hyperlink" Target="https://www.cityhealthdashboard.com/" TargetMode="External"/><Relationship Id="rId29" Type="http://schemas.openxmlformats.org/officeDocument/2006/relationships/hyperlink" Target="https://smartgrowthamerica.org/resources/the-best-complete-streets-policies-of-2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nccdphp/dch/programs/healthycommunitiesprogram/tools/change/pdf/changeactionguide.pdf" TargetMode="External"/><Relationship Id="rId24" Type="http://schemas.openxmlformats.org/officeDocument/2006/relationships/hyperlink" Target="https://www.changelabsolutions.org/healthy-neighborhoods" TargetMode="External"/><Relationship Id="rId32" Type="http://schemas.openxmlformats.org/officeDocument/2006/relationships/hyperlink" Target="https://www.cdc.gov/obesity/downloads/strategies-fruits-and-vegetables.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rt.gcu.edu/research/developmentresources/research_ready/focus_groups/effective_questions" TargetMode="External"/><Relationship Id="rId23" Type="http://schemas.openxmlformats.org/officeDocument/2006/relationships/hyperlink" Target="https://www.changelabsolutions.org/product/episode-3-food-systems" TargetMode="External"/><Relationship Id="rId28" Type="http://schemas.openxmlformats.org/officeDocument/2006/relationships/hyperlink" Target="https://americawalks.org/resources/" TargetMode="External"/><Relationship Id="rId36" Type="http://schemas.openxmlformats.org/officeDocument/2006/relationships/fontTable" Target="fontTable.xml"/><Relationship Id="rId10" Type="http://schemas.openxmlformats.org/officeDocument/2006/relationships/hyperlink" Target="https://wilderresearch.org/tools/cfi-2018/start" TargetMode="External"/><Relationship Id="rId19" Type="http://schemas.openxmlformats.org/officeDocument/2006/relationships/hyperlink" Target="https://www.atsdr.cdc.gov/placeandhealth/svi/index.html" TargetMode="External"/><Relationship Id="rId31" Type="http://schemas.openxmlformats.org/officeDocument/2006/relationships/hyperlink" Target="https://www.cdc.gov/physicalactivity/community-strategies/index.htm" TargetMode="External"/><Relationship Id="rId4" Type="http://schemas.openxmlformats.org/officeDocument/2006/relationships/settings" Target="settings.xml"/><Relationship Id="rId9" Type="http://schemas.openxmlformats.org/officeDocument/2006/relationships/hyperlink" Target="http://nyspha.roundtablelive.org/Resources/Documents/2013%20APHA%20Affiliate%20Mtg/Policy%20Framework%20and%20Tools/PSE_Framework_Dec12.pdf" TargetMode="External"/><Relationship Id="rId14" Type="http://schemas.openxmlformats.org/officeDocument/2006/relationships/hyperlink" Target="https://www.aarp.org/content/dam/aarp/livable-communities/livable-documents/documents-2018/Book-2-Roadmap-To-Livability-Listening-21318-lr.pdf" TargetMode="External"/><Relationship Id="rId22" Type="http://schemas.openxmlformats.org/officeDocument/2006/relationships/hyperlink" Target="https://www.changelabsolutions.org/food-beverages" TargetMode="External"/><Relationship Id="rId27" Type="http://schemas.openxmlformats.org/officeDocument/2006/relationships/hyperlink" Target="https://www.canr.msu.edu/community_food_systems/" TargetMode="External"/><Relationship Id="rId30" Type="http://schemas.openxmlformats.org/officeDocument/2006/relationships/hyperlink" Target="http://walkfriendly.org/planning-and-policy/" TargetMode="External"/><Relationship Id="rId35" Type="http://schemas.openxmlformats.org/officeDocument/2006/relationships/footer" Target="footer2.xml"/><Relationship Id="rId8" Type="http://schemas.openxmlformats.org/officeDocument/2006/relationships/hyperlink" Target="http://healthtrust.org/wp-content/uploads/2013/11/2012-12-28-Policy_Systems_and_Environmental_Change.pdf"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MF">
      <a:dk1>
        <a:sysClr val="windowText" lastClr="000000"/>
      </a:dk1>
      <a:lt1>
        <a:sysClr val="window" lastClr="FFFFFF"/>
      </a:lt1>
      <a:dk2>
        <a:srgbClr val="13334C"/>
      </a:dk2>
      <a:lt2>
        <a:srgbClr val="E7E6E6"/>
      </a:lt2>
      <a:accent1>
        <a:srgbClr val="13334C"/>
      </a:accent1>
      <a:accent2>
        <a:srgbClr val="22A6B3"/>
      </a:accent2>
      <a:accent3>
        <a:srgbClr val="FFA840"/>
      </a:accent3>
      <a:accent4>
        <a:srgbClr val="ACD049"/>
      </a:accent4>
      <a:accent5>
        <a:srgbClr val="FF7517"/>
      </a:accent5>
      <a:accent6>
        <a:srgbClr val="FF4060"/>
      </a:accent6>
      <a:hlink>
        <a:srgbClr val="0DBCCE"/>
      </a:hlink>
      <a:folHlink>
        <a:srgbClr val="098D9A"/>
      </a:folHlink>
    </a:clrScheme>
    <a:fontScheme name="Custom 7">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DEA2C-DF2E-4DE3-A430-273288208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Active Living</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Moore</dc:creator>
  <cp:keywords/>
  <dc:description/>
  <cp:lastModifiedBy>Mary Moomaw</cp:lastModifiedBy>
  <cp:revision>10</cp:revision>
  <dcterms:created xsi:type="dcterms:W3CDTF">2021-12-01T20:20:00Z</dcterms:created>
  <dcterms:modified xsi:type="dcterms:W3CDTF">2021-12-10T14:56:00Z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ca4029-2287-47b1-ae5c-5e95db488e5f_Enabled">
    <vt:lpwstr>true</vt:lpwstr>
  </property>
  <property fmtid="{D5CDD505-2E9C-101B-9397-08002B2CF9AE}" pid="3" name="MSIP_Label_3fca4029-2287-47b1-ae5c-5e95db488e5f_SetDate">
    <vt:lpwstr>2021-10-28T20:03:48Z</vt:lpwstr>
  </property>
  <property fmtid="{D5CDD505-2E9C-101B-9397-08002B2CF9AE}" pid="4" name="MSIP_Label_3fca4029-2287-47b1-ae5c-5e95db488e5f_Method">
    <vt:lpwstr>Privileged</vt:lpwstr>
  </property>
  <property fmtid="{D5CDD505-2E9C-101B-9397-08002B2CF9AE}" pid="5" name="MSIP_Label_3fca4029-2287-47b1-ae5c-5e95db488e5f_Name">
    <vt:lpwstr>Public</vt:lpwstr>
  </property>
  <property fmtid="{D5CDD505-2E9C-101B-9397-08002B2CF9AE}" pid="6" name="MSIP_Label_3fca4029-2287-47b1-ae5c-5e95db488e5f_SiteId">
    <vt:lpwstr>d6cb837e-f26e-4c8e-be4e-340fb287fc02</vt:lpwstr>
  </property>
  <property fmtid="{D5CDD505-2E9C-101B-9397-08002B2CF9AE}" pid="7" name="MSIP_Label_3fca4029-2287-47b1-ae5c-5e95db488e5f_ActionId">
    <vt:lpwstr>4fcc9cec-20c6-4428-8c50-3b85cd03bb0e</vt:lpwstr>
  </property>
  <property fmtid="{D5CDD505-2E9C-101B-9397-08002B2CF9AE}" pid="8" name="MSIP_Label_3fca4029-2287-47b1-ae5c-5e95db488e5f_ContentBits">
    <vt:lpwstr>0</vt:lpwstr>
  </property>
</Properties>
</file>